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D54B1" w14:textId="728F0EA5" w:rsidR="00E66558" w:rsidRPr="00C07D00" w:rsidRDefault="009D71E8">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C07D00">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9F4F56B" w:rsidR="00E66558" w:rsidRPr="00C07D00" w:rsidRDefault="009D71E8">
      <w:pPr>
        <w:pStyle w:val="Heading2"/>
        <w:rPr>
          <w:rFonts w:asciiTheme="minorHAnsi" w:hAnsiTheme="minorHAnsi" w:cstheme="minorHAnsi"/>
          <w:b w:val="0"/>
          <w:bCs/>
          <w:color w:val="auto"/>
          <w:sz w:val="24"/>
          <w:szCs w:val="24"/>
        </w:rPr>
      </w:pPr>
      <w:r w:rsidRPr="00C07D00">
        <w:rPr>
          <w:rFonts w:asciiTheme="minorHAnsi" w:hAnsiTheme="minorHAnsi" w:cstheme="minorHAnsi"/>
          <w:b w:val="0"/>
          <w:bCs/>
          <w:color w:val="auto"/>
          <w:sz w:val="24"/>
          <w:szCs w:val="24"/>
        </w:rPr>
        <w:t>This statement details our school’s use of pupil premium (and recov</w:t>
      </w:r>
      <w:r w:rsidR="00A466FF">
        <w:rPr>
          <w:rFonts w:asciiTheme="minorHAnsi" w:hAnsiTheme="minorHAnsi" w:cstheme="minorHAnsi"/>
          <w:b w:val="0"/>
          <w:bCs/>
          <w:color w:val="auto"/>
          <w:sz w:val="24"/>
          <w:szCs w:val="24"/>
        </w:rPr>
        <w:t>ery premium for the 2021 to 2024</w:t>
      </w:r>
      <w:r w:rsidRPr="00C07D00">
        <w:rPr>
          <w:rFonts w:asciiTheme="minorHAnsi" w:hAnsiTheme="minorHAnsi" w:cstheme="minorHAnsi"/>
          <w:b w:val="0"/>
          <w:bCs/>
          <w:color w:val="auto"/>
          <w:sz w:val="24"/>
          <w:szCs w:val="24"/>
        </w:rPr>
        <w:t xml:space="preserve"> academic year) funding to help improve the attainment of our disadvantaged pupils. </w:t>
      </w:r>
    </w:p>
    <w:p w14:paraId="2A7D54B3" w14:textId="77777777" w:rsidR="00E66558" w:rsidRPr="00C07D00" w:rsidRDefault="009D71E8">
      <w:pPr>
        <w:pStyle w:val="Heading2"/>
        <w:spacing w:before="240"/>
        <w:rPr>
          <w:rFonts w:asciiTheme="minorHAnsi" w:hAnsiTheme="minorHAnsi" w:cstheme="minorHAnsi"/>
          <w:b w:val="0"/>
          <w:bCs/>
          <w:color w:val="auto"/>
          <w:sz w:val="24"/>
          <w:szCs w:val="24"/>
        </w:rPr>
      </w:pPr>
      <w:r w:rsidRPr="00C07D00">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C07D00" w:rsidRDefault="009D71E8">
      <w:pPr>
        <w:pStyle w:val="Heading2"/>
        <w:rPr>
          <w:rFonts w:asciiTheme="minorHAnsi" w:hAnsiTheme="minorHAnsi" w:cstheme="minorHAnsi"/>
        </w:rPr>
      </w:pPr>
      <w:r w:rsidRPr="00C07D00">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C07D00" w14:paraId="2A7D54B7"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Data</w:t>
            </w:r>
          </w:p>
        </w:tc>
      </w:tr>
      <w:tr w:rsidR="00E66558" w:rsidRPr="00C07D00" w14:paraId="2A7D54BA"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4E12F87" w:rsidR="00E66558" w:rsidRPr="00C07D00" w:rsidRDefault="00A0718B">
            <w:pPr>
              <w:pStyle w:val="TableRow"/>
              <w:rPr>
                <w:rFonts w:asciiTheme="minorHAnsi" w:hAnsiTheme="minorHAnsi" w:cstheme="minorHAnsi"/>
              </w:rPr>
            </w:pPr>
            <w:r w:rsidRPr="00A63EDF">
              <w:rPr>
                <w:rStyle w:val="PlaceholderText"/>
                <w:rFonts w:asciiTheme="minorHAnsi" w:hAnsiTheme="minorHAnsi" w:cstheme="minorHAnsi"/>
                <w:color w:val="auto"/>
              </w:rPr>
              <w:t>St Paul’s CE Primary School</w:t>
            </w:r>
          </w:p>
        </w:tc>
      </w:tr>
      <w:tr w:rsidR="00E66558" w:rsidRPr="00C07D00" w14:paraId="2A7D54BD"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1B960D7" w:rsidR="00E66558" w:rsidRPr="00C07D00" w:rsidRDefault="00A0718B">
            <w:pPr>
              <w:pStyle w:val="TableRow"/>
              <w:rPr>
                <w:rFonts w:asciiTheme="minorHAnsi" w:hAnsiTheme="minorHAnsi" w:cstheme="minorHAnsi"/>
              </w:rPr>
            </w:pPr>
            <w:r w:rsidRPr="00C07D00">
              <w:rPr>
                <w:rFonts w:asciiTheme="minorHAnsi" w:hAnsiTheme="minorHAnsi" w:cstheme="minorHAnsi"/>
              </w:rPr>
              <w:t>208</w:t>
            </w:r>
          </w:p>
        </w:tc>
      </w:tr>
      <w:tr w:rsidR="00E66558" w:rsidRPr="00C07D00" w14:paraId="2A7D54C0"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EE4FAE7" w:rsidR="00E66558" w:rsidRPr="00C07D00" w:rsidRDefault="00A0718B">
            <w:pPr>
              <w:pStyle w:val="TableRow"/>
              <w:rPr>
                <w:rFonts w:asciiTheme="minorHAnsi" w:hAnsiTheme="minorHAnsi" w:cstheme="minorHAnsi"/>
              </w:rPr>
            </w:pPr>
            <w:r w:rsidRPr="00C07D00">
              <w:rPr>
                <w:rFonts w:asciiTheme="minorHAnsi" w:hAnsiTheme="minorHAnsi" w:cstheme="minorHAnsi"/>
              </w:rPr>
              <w:t>34</w:t>
            </w:r>
          </w:p>
        </w:tc>
      </w:tr>
      <w:tr w:rsidR="00E66558" w:rsidRPr="00C07D00" w14:paraId="2A7D54C3"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szCs w:val="22"/>
              </w:rPr>
              <w:t xml:space="preserve">Academic year/years that our current pupil premium strategy plan covers </w:t>
            </w:r>
            <w:r w:rsidRPr="00C07D00">
              <w:rPr>
                <w:rFonts w:asciiTheme="minorHAnsi" w:hAnsiTheme="minorHAnsi" w:cstheme="minorHAnsi"/>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D541509" w:rsidR="00E66558" w:rsidRPr="00C07D00" w:rsidRDefault="004D4E9D">
            <w:pPr>
              <w:pStyle w:val="TableRow"/>
              <w:rPr>
                <w:rFonts w:asciiTheme="minorHAnsi" w:hAnsiTheme="minorHAnsi" w:cstheme="minorHAnsi"/>
              </w:rPr>
            </w:pPr>
            <w:r w:rsidRPr="00C07D00">
              <w:rPr>
                <w:rFonts w:asciiTheme="minorHAnsi" w:hAnsiTheme="minorHAnsi" w:cstheme="minorHAnsi"/>
              </w:rPr>
              <w:t>2021-2024</w:t>
            </w:r>
          </w:p>
        </w:tc>
      </w:tr>
      <w:tr w:rsidR="00E66558" w:rsidRPr="00C07D00" w14:paraId="2A7D54C6"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13D6C3C" w:rsidR="00E66558" w:rsidRPr="00C07D00" w:rsidRDefault="00A466FF">
            <w:pPr>
              <w:pStyle w:val="TableRow"/>
              <w:rPr>
                <w:rFonts w:asciiTheme="minorHAnsi" w:hAnsiTheme="minorHAnsi" w:cstheme="minorHAnsi"/>
              </w:rPr>
            </w:pPr>
            <w:r>
              <w:rPr>
                <w:rFonts w:asciiTheme="minorHAnsi" w:hAnsiTheme="minorHAnsi" w:cstheme="minorHAnsi"/>
              </w:rPr>
              <w:t>November 2022</w:t>
            </w:r>
          </w:p>
        </w:tc>
      </w:tr>
      <w:tr w:rsidR="00E66558" w:rsidRPr="00C07D00" w14:paraId="2A7D54C9"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A873125" w:rsidR="00E66558" w:rsidRPr="00C07D00" w:rsidRDefault="00A466FF">
            <w:pPr>
              <w:pStyle w:val="TableRow"/>
              <w:rPr>
                <w:rFonts w:asciiTheme="minorHAnsi" w:hAnsiTheme="minorHAnsi" w:cstheme="minorHAnsi"/>
              </w:rPr>
            </w:pPr>
            <w:r>
              <w:rPr>
                <w:rFonts w:asciiTheme="minorHAnsi" w:hAnsiTheme="minorHAnsi" w:cstheme="minorHAnsi"/>
              </w:rPr>
              <w:t>November 2023</w:t>
            </w:r>
          </w:p>
        </w:tc>
      </w:tr>
      <w:tr w:rsidR="00E66558" w:rsidRPr="00C07D00" w14:paraId="2A7D54CC"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1A1E305" w:rsidR="00E66558" w:rsidRPr="00C07D00" w:rsidRDefault="00A0718B">
            <w:pPr>
              <w:pStyle w:val="TableRow"/>
              <w:rPr>
                <w:rFonts w:asciiTheme="minorHAnsi" w:hAnsiTheme="minorHAnsi" w:cstheme="minorHAnsi"/>
              </w:rPr>
            </w:pPr>
            <w:r w:rsidRPr="00C07D00">
              <w:rPr>
                <w:rFonts w:asciiTheme="minorHAnsi" w:hAnsiTheme="minorHAnsi" w:cstheme="minorHAnsi"/>
              </w:rPr>
              <w:t xml:space="preserve">Jane </w:t>
            </w:r>
            <w:proofErr w:type="spellStart"/>
            <w:r w:rsidRPr="00C07D00">
              <w:rPr>
                <w:rFonts w:asciiTheme="minorHAnsi" w:hAnsiTheme="minorHAnsi" w:cstheme="minorHAnsi"/>
              </w:rPr>
              <w:t>Tyers</w:t>
            </w:r>
            <w:proofErr w:type="spellEnd"/>
          </w:p>
        </w:tc>
      </w:tr>
      <w:tr w:rsidR="00E66558" w:rsidRPr="00C07D00" w14:paraId="2A7D54CF"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77467ED" w:rsidR="00E66558" w:rsidRPr="00C07D00" w:rsidRDefault="00A0718B">
            <w:pPr>
              <w:pStyle w:val="TableRow"/>
              <w:rPr>
                <w:rFonts w:asciiTheme="minorHAnsi" w:hAnsiTheme="minorHAnsi" w:cstheme="minorHAnsi"/>
              </w:rPr>
            </w:pPr>
            <w:r w:rsidRPr="00C07D00">
              <w:rPr>
                <w:rFonts w:asciiTheme="minorHAnsi" w:hAnsiTheme="minorHAnsi" w:cstheme="minorHAnsi"/>
              </w:rPr>
              <w:t>Michelle Thomas</w:t>
            </w:r>
          </w:p>
        </w:tc>
      </w:tr>
      <w:tr w:rsidR="00E66558" w:rsidRPr="00C07D00" w14:paraId="2A7D54D2"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 xml:space="preserve">Governor </w:t>
            </w:r>
            <w:r w:rsidRPr="00C07D00">
              <w:rPr>
                <w:rFonts w:asciiTheme="minorHAnsi" w:hAnsiTheme="minorHAnsi" w:cstheme="minorHAnsi"/>
                <w:szCs w:val="22"/>
              </w:rPr>
              <w:t xml:space="preserve">/ Trustee </w:t>
            </w:r>
            <w:r w:rsidRPr="00C07D00">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8AD599F" w:rsidR="00E66558" w:rsidRPr="00C07D00" w:rsidRDefault="004D4E9D">
            <w:pPr>
              <w:pStyle w:val="TableRow"/>
              <w:rPr>
                <w:rFonts w:asciiTheme="minorHAnsi" w:hAnsiTheme="minorHAnsi" w:cstheme="minorHAnsi"/>
                <w:color w:val="FF0000"/>
              </w:rPr>
            </w:pPr>
            <w:proofErr w:type="spellStart"/>
            <w:r w:rsidRPr="00C07D00">
              <w:rPr>
                <w:rFonts w:asciiTheme="minorHAnsi" w:hAnsiTheme="minorHAnsi" w:cstheme="minorHAnsi"/>
                <w:color w:val="auto"/>
              </w:rPr>
              <w:t>Anthea</w:t>
            </w:r>
            <w:proofErr w:type="spellEnd"/>
            <w:r w:rsidRPr="00C07D00">
              <w:rPr>
                <w:rFonts w:asciiTheme="minorHAnsi" w:hAnsiTheme="minorHAnsi" w:cstheme="minorHAnsi"/>
                <w:color w:val="auto"/>
              </w:rPr>
              <w:t xml:space="preserve"> Darlington</w:t>
            </w:r>
          </w:p>
        </w:tc>
      </w:tr>
    </w:tbl>
    <w:bookmarkEnd w:id="2"/>
    <w:bookmarkEnd w:id="3"/>
    <w:bookmarkEnd w:id="4"/>
    <w:p w14:paraId="2A7D54D3" w14:textId="77777777" w:rsidR="00E66558" w:rsidRPr="00C07D00" w:rsidRDefault="009D71E8">
      <w:pPr>
        <w:spacing w:before="480" w:line="240" w:lineRule="auto"/>
        <w:rPr>
          <w:rFonts w:asciiTheme="minorHAnsi" w:hAnsiTheme="minorHAnsi" w:cstheme="minorHAnsi"/>
          <w:b/>
          <w:color w:val="104F75"/>
          <w:sz w:val="32"/>
          <w:szCs w:val="32"/>
        </w:rPr>
      </w:pPr>
      <w:r w:rsidRPr="00C07D00">
        <w:rPr>
          <w:rFonts w:asciiTheme="minorHAnsi" w:hAnsiTheme="minorHAnsi" w:cs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C07D00"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b/>
              </w:rPr>
              <w:t>Amount</w:t>
            </w:r>
          </w:p>
        </w:tc>
      </w:tr>
      <w:tr w:rsidR="00E66558" w:rsidRPr="00C07D00"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5FB83417" w:rsidR="00E66558" w:rsidRPr="00C07D00" w:rsidRDefault="009D71E8">
            <w:pPr>
              <w:pStyle w:val="TableRow"/>
              <w:rPr>
                <w:rFonts w:asciiTheme="minorHAnsi" w:hAnsiTheme="minorHAnsi" w:cstheme="minorHAnsi"/>
              </w:rPr>
            </w:pPr>
            <w:r w:rsidRPr="00C07D00">
              <w:rPr>
                <w:rFonts w:asciiTheme="minorHAnsi" w:hAnsiTheme="minorHAnsi" w:cstheme="minorHAnsi"/>
              </w:rPr>
              <w:t>Pupil premium funding allocation this academic year</w:t>
            </w:r>
            <w:r w:rsidR="00A466FF">
              <w:rPr>
                <w:rFonts w:asciiTheme="minorHAnsi" w:hAnsiTheme="minorHAnsi" w:cstheme="minorHAnsi"/>
              </w:rPr>
              <w:t xml:space="preserve"> (21/22)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E88F19C" w:rsidR="00E66558" w:rsidRPr="00C07D00" w:rsidRDefault="009D71E8">
            <w:pPr>
              <w:pStyle w:val="TableRow"/>
              <w:rPr>
                <w:rFonts w:asciiTheme="minorHAnsi" w:hAnsiTheme="minorHAnsi" w:cstheme="minorHAnsi"/>
              </w:rPr>
            </w:pPr>
            <w:r w:rsidRPr="00C07D00">
              <w:rPr>
                <w:rFonts w:asciiTheme="minorHAnsi" w:hAnsiTheme="minorHAnsi" w:cstheme="minorHAnsi"/>
              </w:rPr>
              <w:t>£</w:t>
            </w:r>
            <w:r w:rsidR="00A466FF">
              <w:rPr>
                <w:rFonts w:asciiTheme="minorHAnsi" w:hAnsiTheme="minorHAnsi" w:cstheme="minorHAnsi"/>
              </w:rPr>
              <w:t xml:space="preserve"> 104,894</w:t>
            </w:r>
          </w:p>
        </w:tc>
      </w:tr>
      <w:tr w:rsidR="00E66558" w:rsidRPr="00C07D00"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B54B2E1" w:rsidR="00E66558" w:rsidRPr="00C07D00" w:rsidRDefault="009D71E8">
            <w:pPr>
              <w:pStyle w:val="TableRow"/>
              <w:rPr>
                <w:rFonts w:asciiTheme="minorHAnsi" w:hAnsiTheme="minorHAnsi" w:cstheme="minorHAnsi"/>
              </w:rPr>
            </w:pPr>
            <w:r w:rsidRPr="00C07D00">
              <w:rPr>
                <w:rFonts w:asciiTheme="minorHAnsi" w:hAnsiTheme="minorHAnsi" w:cstheme="minorHAnsi"/>
              </w:rPr>
              <w:t>£</w:t>
            </w:r>
            <w:r w:rsidR="00A466FF">
              <w:rPr>
                <w:rFonts w:asciiTheme="minorHAnsi" w:hAnsiTheme="minorHAnsi" w:cstheme="minorHAnsi"/>
              </w:rPr>
              <w:t xml:space="preserve">   10,368</w:t>
            </w:r>
          </w:p>
        </w:tc>
      </w:tr>
      <w:tr w:rsidR="00E66558" w:rsidRPr="00C07D00"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DEFA1C5" w:rsidR="00E66558" w:rsidRPr="00C07D00" w:rsidRDefault="009D71E8">
            <w:pPr>
              <w:pStyle w:val="TableRow"/>
              <w:rPr>
                <w:rFonts w:asciiTheme="minorHAnsi" w:hAnsiTheme="minorHAnsi" w:cstheme="minorHAnsi"/>
              </w:rPr>
            </w:pPr>
            <w:r w:rsidRPr="00C07D00">
              <w:rPr>
                <w:rFonts w:asciiTheme="minorHAnsi" w:hAnsiTheme="minorHAnsi" w:cstheme="minorHAnsi"/>
              </w:rPr>
              <w:t>£</w:t>
            </w:r>
            <w:r w:rsidR="00A0718B" w:rsidRPr="00C07D00">
              <w:rPr>
                <w:rFonts w:asciiTheme="minorHAnsi" w:hAnsiTheme="minorHAnsi" w:cstheme="minorHAnsi"/>
              </w:rPr>
              <w:t xml:space="preserve"> </w:t>
            </w:r>
            <w:r w:rsidR="00A466FF">
              <w:rPr>
                <w:rFonts w:asciiTheme="minorHAnsi" w:hAnsiTheme="minorHAnsi" w:cstheme="minorHAnsi"/>
              </w:rPr>
              <w:t xml:space="preserve"> </w:t>
            </w:r>
            <w:r w:rsidR="00A0718B" w:rsidRPr="00C07D00">
              <w:rPr>
                <w:rFonts w:asciiTheme="minorHAnsi" w:hAnsiTheme="minorHAnsi" w:cstheme="minorHAnsi"/>
              </w:rPr>
              <w:t>0</w:t>
            </w:r>
          </w:p>
        </w:tc>
      </w:tr>
      <w:tr w:rsidR="00E66558" w:rsidRPr="00C07D00"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C07D00" w:rsidRDefault="009D71E8">
            <w:pPr>
              <w:pStyle w:val="TableRow"/>
              <w:rPr>
                <w:rFonts w:asciiTheme="minorHAnsi" w:hAnsiTheme="minorHAnsi" w:cstheme="minorHAnsi"/>
                <w:b/>
              </w:rPr>
            </w:pPr>
            <w:r w:rsidRPr="00C07D00">
              <w:rPr>
                <w:rFonts w:asciiTheme="minorHAnsi" w:hAnsiTheme="minorHAnsi" w:cstheme="minorHAnsi"/>
                <w:b/>
              </w:rPr>
              <w:t>Total budget for this academic year</w:t>
            </w:r>
          </w:p>
          <w:p w14:paraId="2A7D54E1"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296CAD3" w:rsidR="00E66558" w:rsidRPr="00C07D00" w:rsidRDefault="009D71E8">
            <w:pPr>
              <w:pStyle w:val="TableRow"/>
              <w:rPr>
                <w:rFonts w:asciiTheme="minorHAnsi" w:hAnsiTheme="minorHAnsi" w:cstheme="minorHAnsi"/>
              </w:rPr>
            </w:pPr>
            <w:r w:rsidRPr="00C07D00">
              <w:rPr>
                <w:rFonts w:asciiTheme="minorHAnsi" w:hAnsiTheme="minorHAnsi" w:cstheme="minorHAnsi"/>
              </w:rPr>
              <w:t>£</w:t>
            </w:r>
            <w:r w:rsidR="00A466FF">
              <w:rPr>
                <w:rFonts w:asciiTheme="minorHAnsi" w:hAnsiTheme="minorHAnsi" w:cstheme="minorHAnsi"/>
              </w:rPr>
              <w:t xml:space="preserve"> 115,262</w:t>
            </w:r>
          </w:p>
        </w:tc>
      </w:tr>
    </w:tbl>
    <w:p w14:paraId="2A7D54E4" w14:textId="77777777" w:rsidR="00E66558" w:rsidRPr="00C07D00" w:rsidRDefault="009D71E8">
      <w:pPr>
        <w:pStyle w:val="Heading1"/>
        <w:rPr>
          <w:rFonts w:asciiTheme="minorHAnsi" w:hAnsiTheme="minorHAnsi" w:cstheme="minorHAnsi"/>
        </w:rPr>
      </w:pPr>
      <w:r w:rsidRPr="00C07D00">
        <w:rPr>
          <w:rFonts w:asciiTheme="minorHAnsi" w:hAnsiTheme="minorHAnsi" w:cstheme="minorHAnsi"/>
        </w:rPr>
        <w:lastRenderedPageBreak/>
        <w:t>Part A: Pupil premium strategy plan</w:t>
      </w:r>
    </w:p>
    <w:p w14:paraId="2A7D54E5" w14:textId="77777777" w:rsidR="00E66558" w:rsidRPr="00C07D00" w:rsidRDefault="009D71E8">
      <w:pPr>
        <w:pStyle w:val="Heading2"/>
        <w:rPr>
          <w:rFonts w:asciiTheme="minorHAnsi" w:hAnsiTheme="minorHAnsi" w:cstheme="minorHAnsi"/>
        </w:rPr>
      </w:pPr>
      <w:bookmarkStart w:id="14" w:name="_Toc357771640"/>
      <w:bookmarkStart w:id="15" w:name="_Toc346793418"/>
      <w:r w:rsidRPr="00C07D00">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C07D00" w14:paraId="2A7D54EA" w14:textId="77777777" w:rsidTr="1C0C544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C4332E" w14:textId="4FC3A6F4" w:rsidR="00C57F18" w:rsidRPr="00C07D00" w:rsidRDefault="00F97660" w:rsidP="00C57F18">
            <w:pPr>
              <w:spacing w:before="120"/>
              <w:rPr>
                <w:rFonts w:asciiTheme="minorHAnsi" w:hAnsiTheme="minorHAnsi" w:cstheme="minorHAnsi"/>
                <w:iCs/>
              </w:rPr>
            </w:pPr>
            <w:r w:rsidRPr="00C07D00">
              <w:rPr>
                <w:rFonts w:asciiTheme="minorHAnsi" w:hAnsiTheme="minorHAnsi" w:cstheme="minorHAnsi"/>
                <w:iCs/>
              </w:rPr>
              <w:t xml:space="preserve">Our intention at St. Paul`s C of E Primary School is that all pupils, irrespective of their background or the challenges they face, are able to maximise their potential and achieve their </w:t>
            </w:r>
            <w:r w:rsidR="00AC5736" w:rsidRPr="00C07D00">
              <w:rPr>
                <w:rFonts w:asciiTheme="minorHAnsi" w:hAnsiTheme="minorHAnsi" w:cstheme="minorHAnsi"/>
                <w:iCs/>
              </w:rPr>
              <w:t>personal goals</w:t>
            </w:r>
            <w:r w:rsidRPr="00C07D00">
              <w:rPr>
                <w:rFonts w:asciiTheme="minorHAnsi" w:hAnsiTheme="minorHAnsi" w:cstheme="minorHAnsi"/>
                <w:iCs/>
              </w:rPr>
              <w:t>. The focus of our pupil premium strategy is to support disa</w:t>
            </w:r>
            <w:r w:rsidR="00AC5736" w:rsidRPr="00C07D00">
              <w:rPr>
                <w:rFonts w:asciiTheme="minorHAnsi" w:hAnsiTheme="minorHAnsi" w:cstheme="minorHAnsi"/>
                <w:iCs/>
              </w:rPr>
              <w:t>dvantaged pupils to achieve these</w:t>
            </w:r>
            <w:r w:rsidRPr="00C07D00">
              <w:rPr>
                <w:rFonts w:asciiTheme="minorHAnsi" w:hAnsiTheme="minorHAnsi" w:cstheme="minorHAnsi"/>
                <w:iCs/>
              </w:rPr>
              <w:t xml:space="preserve"> goal</w:t>
            </w:r>
            <w:r w:rsidR="00AC5736" w:rsidRPr="00C07D00">
              <w:rPr>
                <w:rFonts w:asciiTheme="minorHAnsi" w:hAnsiTheme="minorHAnsi" w:cstheme="minorHAnsi"/>
                <w:iCs/>
              </w:rPr>
              <w:t>s.</w:t>
            </w:r>
            <w:r w:rsidR="00C57F18" w:rsidRPr="00C07D00">
              <w:rPr>
                <w:rFonts w:asciiTheme="minorHAnsi" w:hAnsiTheme="minorHAnsi" w:cstheme="minorHAnsi"/>
              </w:rPr>
              <w:t xml:space="preserve"> </w:t>
            </w:r>
            <w:r w:rsidR="00C57F18" w:rsidRPr="00C07D00">
              <w:rPr>
                <w:rFonts w:asciiTheme="minorHAnsi" w:hAnsiTheme="minorHAnsi" w:cstheme="minorHAnsi"/>
                <w:iCs/>
              </w:rPr>
              <w:t>We intend for all PP students to play a full and successful part in the academic and wider school commu</w:t>
            </w:r>
            <w:r w:rsidR="004147DD" w:rsidRPr="00C07D00">
              <w:rPr>
                <w:rFonts w:asciiTheme="minorHAnsi" w:hAnsiTheme="minorHAnsi" w:cstheme="minorHAnsi"/>
                <w:iCs/>
              </w:rPr>
              <w:t>nity.  To achieve this we aim</w:t>
            </w:r>
            <w:r w:rsidR="00C57F18" w:rsidRPr="00C07D00">
              <w:rPr>
                <w:rFonts w:asciiTheme="minorHAnsi" w:hAnsiTheme="minorHAnsi" w:cstheme="minorHAnsi"/>
                <w:iCs/>
              </w:rPr>
              <w:t>:</w:t>
            </w:r>
          </w:p>
          <w:p w14:paraId="11073935" w14:textId="5EE6D7F3" w:rsidR="00AC5736" w:rsidRDefault="00467CAB" w:rsidP="00AC5736">
            <w:pPr>
              <w:spacing w:before="120"/>
              <w:rPr>
                <w:rFonts w:asciiTheme="minorHAnsi" w:hAnsiTheme="minorHAnsi" w:cstheme="minorHAnsi"/>
                <w:iCs/>
              </w:rPr>
            </w:pPr>
            <w:r w:rsidRPr="00C07D00">
              <w:rPr>
                <w:rFonts w:asciiTheme="minorHAnsi" w:hAnsiTheme="minorHAnsi" w:cstheme="minorHAnsi"/>
                <w:iCs/>
              </w:rPr>
              <w:t>1.</w:t>
            </w:r>
            <w:r w:rsidR="00AC5736" w:rsidRPr="00C07D00">
              <w:rPr>
                <w:rFonts w:asciiTheme="minorHAnsi" w:hAnsiTheme="minorHAnsi" w:cstheme="minorHAnsi"/>
                <w:iCs/>
              </w:rPr>
              <w:t xml:space="preserve">To ensure that all PP students participate </w:t>
            </w:r>
            <w:r w:rsidR="0069453B" w:rsidRPr="00C07D00">
              <w:rPr>
                <w:rFonts w:asciiTheme="minorHAnsi" w:hAnsiTheme="minorHAnsi" w:cstheme="minorHAnsi"/>
                <w:iCs/>
              </w:rPr>
              <w:t xml:space="preserve">in </w:t>
            </w:r>
            <w:r w:rsidR="00AC5736" w:rsidRPr="00C07D00">
              <w:rPr>
                <w:rFonts w:asciiTheme="minorHAnsi" w:hAnsiTheme="minorHAnsi" w:cstheme="minorHAnsi"/>
                <w:iCs/>
              </w:rPr>
              <w:t>the academic and wider curriculum to the same extent as their peers</w:t>
            </w:r>
          </w:p>
          <w:p w14:paraId="10BE9E10" w14:textId="762B3F13" w:rsidR="00051D0F" w:rsidRPr="00A466FF" w:rsidRDefault="00051D0F" w:rsidP="00AC5736">
            <w:pPr>
              <w:spacing w:before="120"/>
              <w:rPr>
                <w:rFonts w:asciiTheme="minorHAnsi" w:hAnsiTheme="minorHAnsi" w:cstheme="minorHAnsi"/>
                <w:iCs/>
                <w:color w:val="548DD4" w:themeColor="text2" w:themeTint="99"/>
              </w:rPr>
            </w:pPr>
            <w:r w:rsidRPr="00A466FF">
              <w:rPr>
                <w:rFonts w:asciiTheme="minorHAnsi" w:hAnsiTheme="minorHAnsi" w:cstheme="minorHAnsi"/>
                <w:iCs/>
                <w:color w:val="548DD4" w:themeColor="text2" w:themeTint="99"/>
              </w:rPr>
              <w:t xml:space="preserve">Over 50% of all the children that attended afterschool sports clubs were Pupil Premium children. Enrichment activities are </w:t>
            </w:r>
            <w:r w:rsidR="00A466FF">
              <w:rPr>
                <w:rFonts w:asciiTheme="minorHAnsi" w:hAnsiTheme="minorHAnsi" w:cstheme="minorHAnsi"/>
                <w:iCs/>
                <w:color w:val="548DD4" w:themeColor="text2" w:themeTint="99"/>
              </w:rPr>
              <w:t>timetabled throughout school to</w:t>
            </w:r>
            <w:r w:rsidRPr="00A466FF">
              <w:rPr>
                <w:rFonts w:asciiTheme="minorHAnsi" w:hAnsiTheme="minorHAnsi" w:cstheme="minorHAnsi"/>
                <w:iCs/>
                <w:color w:val="548DD4" w:themeColor="text2" w:themeTint="99"/>
              </w:rPr>
              <w:t xml:space="preserve"> ensure that all children have opportunities to experience and have knowledge of a wider curriculum</w:t>
            </w:r>
            <w:r w:rsidR="00D04DAE" w:rsidRPr="00A466FF">
              <w:rPr>
                <w:rFonts w:asciiTheme="minorHAnsi" w:hAnsiTheme="minorHAnsi" w:cstheme="minorHAnsi"/>
                <w:iCs/>
                <w:color w:val="548DD4" w:themeColor="text2" w:themeTint="99"/>
              </w:rPr>
              <w:t>. Children in K</w:t>
            </w:r>
            <w:r w:rsidR="003012DB">
              <w:rPr>
                <w:rFonts w:asciiTheme="minorHAnsi" w:hAnsiTheme="minorHAnsi" w:cstheme="minorHAnsi"/>
                <w:iCs/>
                <w:color w:val="548DD4" w:themeColor="text2" w:themeTint="99"/>
              </w:rPr>
              <w:t>S2 have been supported to go to</w:t>
            </w:r>
            <w:r w:rsidR="00D04DAE" w:rsidRPr="00A466FF">
              <w:rPr>
                <w:rFonts w:asciiTheme="minorHAnsi" w:hAnsiTheme="minorHAnsi" w:cstheme="minorHAnsi"/>
                <w:iCs/>
                <w:color w:val="548DD4" w:themeColor="text2" w:themeTint="99"/>
              </w:rPr>
              <w:t xml:space="preserve"> </w:t>
            </w:r>
            <w:proofErr w:type="spellStart"/>
            <w:r w:rsidR="00D04DAE" w:rsidRPr="00A466FF">
              <w:rPr>
                <w:rFonts w:asciiTheme="minorHAnsi" w:hAnsiTheme="minorHAnsi" w:cstheme="minorHAnsi"/>
                <w:iCs/>
                <w:color w:val="548DD4" w:themeColor="text2" w:themeTint="99"/>
              </w:rPr>
              <w:t>Lledr</w:t>
            </w:r>
            <w:proofErr w:type="spellEnd"/>
            <w:r w:rsidR="00D04DAE" w:rsidRPr="00A466FF">
              <w:rPr>
                <w:rFonts w:asciiTheme="minorHAnsi" w:hAnsiTheme="minorHAnsi" w:cstheme="minorHAnsi"/>
                <w:iCs/>
                <w:color w:val="548DD4" w:themeColor="text2" w:themeTint="99"/>
              </w:rPr>
              <w:t xml:space="preserve"> Hall </w:t>
            </w:r>
            <w:r w:rsidR="00A466FF">
              <w:rPr>
                <w:rFonts w:asciiTheme="minorHAnsi" w:hAnsiTheme="minorHAnsi" w:cstheme="minorHAnsi"/>
                <w:iCs/>
                <w:color w:val="548DD4" w:themeColor="text2" w:themeTint="99"/>
              </w:rPr>
              <w:t xml:space="preserve">and a whole school trip to the </w:t>
            </w:r>
            <w:proofErr w:type="spellStart"/>
            <w:r w:rsidR="00A466FF">
              <w:rPr>
                <w:rFonts w:asciiTheme="minorHAnsi" w:hAnsiTheme="minorHAnsi" w:cstheme="minorHAnsi"/>
                <w:iCs/>
                <w:color w:val="548DD4" w:themeColor="text2" w:themeTint="99"/>
              </w:rPr>
              <w:t>P</w:t>
            </w:r>
            <w:r w:rsidR="00D04DAE" w:rsidRPr="00A466FF">
              <w:rPr>
                <w:rFonts w:asciiTheme="minorHAnsi" w:hAnsiTheme="minorHAnsi" w:cstheme="minorHAnsi"/>
                <w:iCs/>
                <w:color w:val="548DD4" w:themeColor="text2" w:themeTint="99"/>
              </w:rPr>
              <w:t>anto</w:t>
            </w:r>
            <w:proofErr w:type="spellEnd"/>
            <w:r w:rsidR="00D04DAE" w:rsidRPr="00A466FF">
              <w:rPr>
                <w:rFonts w:asciiTheme="minorHAnsi" w:hAnsiTheme="minorHAnsi" w:cstheme="minorHAnsi"/>
                <w:iCs/>
                <w:color w:val="548DD4" w:themeColor="text2" w:themeTint="99"/>
              </w:rPr>
              <w:t xml:space="preserve"> has been subsidised. A new curriculum `Dimensions` has been purchased and ensures that all children have equal access to a wider curriculum from Nursery to Year 6.</w:t>
            </w:r>
          </w:p>
          <w:p w14:paraId="5D2A5562" w14:textId="1FE8B8C8" w:rsidR="00AC5736" w:rsidRPr="00C07D00" w:rsidRDefault="00AA0736" w:rsidP="00AC5736">
            <w:pPr>
              <w:spacing w:before="120"/>
              <w:rPr>
                <w:rFonts w:asciiTheme="minorHAnsi" w:hAnsiTheme="minorHAnsi" w:cstheme="minorHAnsi"/>
                <w:iCs/>
              </w:rPr>
            </w:pPr>
            <w:r w:rsidRPr="00C07D00">
              <w:rPr>
                <w:rFonts w:asciiTheme="minorHAnsi" w:hAnsiTheme="minorHAnsi" w:cstheme="minorHAnsi"/>
                <w:iCs/>
              </w:rPr>
              <w:t xml:space="preserve">2. </w:t>
            </w:r>
            <w:r w:rsidR="00AC5736" w:rsidRPr="00C07D00">
              <w:rPr>
                <w:rFonts w:asciiTheme="minorHAnsi" w:hAnsiTheme="minorHAnsi" w:cstheme="minorHAnsi"/>
                <w:iCs/>
              </w:rPr>
              <w:t xml:space="preserve">To ensure that PP students make </w:t>
            </w:r>
            <w:r w:rsidR="0069453B" w:rsidRPr="00C07D00">
              <w:rPr>
                <w:rFonts w:asciiTheme="minorHAnsi" w:hAnsiTheme="minorHAnsi" w:cstheme="minorHAnsi"/>
                <w:iCs/>
              </w:rPr>
              <w:t>consi</w:t>
            </w:r>
            <w:r w:rsidR="004147DD" w:rsidRPr="00C07D00">
              <w:rPr>
                <w:rFonts w:asciiTheme="minorHAnsi" w:hAnsiTheme="minorHAnsi" w:cstheme="minorHAnsi"/>
                <w:iCs/>
              </w:rPr>
              <w:t>s</w:t>
            </w:r>
            <w:r w:rsidR="0069453B" w:rsidRPr="00C07D00">
              <w:rPr>
                <w:rFonts w:asciiTheme="minorHAnsi" w:hAnsiTheme="minorHAnsi" w:cstheme="minorHAnsi"/>
                <w:iCs/>
              </w:rPr>
              <w:t>tently</w:t>
            </w:r>
            <w:r w:rsidR="00AC5736" w:rsidRPr="00C07D00">
              <w:rPr>
                <w:rFonts w:asciiTheme="minorHAnsi" w:hAnsiTheme="minorHAnsi" w:cstheme="minorHAnsi"/>
                <w:iCs/>
              </w:rPr>
              <w:t xml:space="preserve"> good progress year on </w:t>
            </w:r>
            <w:r w:rsidR="00467CAB" w:rsidRPr="00C07D00">
              <w:rPr>
                <w:rFonts w:asciiTheme="minorHAnsi" w:hAnsiTheme="minorHAnsi" w:cstheme="minorHAnsi"/>
                <w:iCs/>
              </w:rPr>
              <w:t>year.</w:t>
            </w:r>
          </w:p>
          <w:p w14:paraId="296CC555" w14:textId="7BE620DA" w:rsidR="00AC5736" w:rsidRDefault="00AA0736" w:rsidP="00AC5736">
            <w:pPr>
              <w:spacing w:before="120"/>
              <w:rPr>
                <w:rFonts w:asciiTheme="minorHAnsi" w:hAnsiTheme="minorHAnsi" w:cstheme="minorHAnsi"/>
                <w:iCs/>
              </w:rPr>
            </w:pPr>
            <w:r w:rsidRPr="00C07D00">
              <w:rPr>
                <w:rFonts w:asciiTheme="minorHAnsi" w:hAnsiTheme="minorHAnsi" w:cstheme="minorHAnsi"/>
                <w:iCs/>
              </w:rPr>
              <w:t>3.</w:t>
            </w:r>
            <w:r w:rsidR="00C07D00" w:rsidRPr="00C07D00">
              <w:rPr>
                <w:rFonts w:asciiTheme="minorHAnsi" w:hAnsiTheme="minorHAnsi" w:cstheme="minorHAnsi"/>
                <w:iCs/>
              </w:rPr>
              <w:t xml:space="preserve"> </w:t>
            </w:r>
            <w:r w:rsidR="0069453B" w:rsidRPr="00C07D00">
              <w:rPr>
                <w:rFonts w:asciiTheme="minorHAnsi" w:hAnsiTheme="minorHAnsi" w:cstheme="minorHAnsi"/>
                <w:iCs/>
              </w:rPr>
              <w:t xml:space="preserve">To </w:t>
            </w:r>
            <w:r w:rsidR="00AC5736" w:rsidRPr="00C07D00">
              <w:rPr>
                <w:rFonts w:asciiTheme="minorHAnsi" w:hAnsiTheme="minorHAnsi" w:cstheme="minorHAnsi"/>
                <w:iCs/>
              </w:rPr>
              <w:t>address and remove the barriers faced by our PP students e.g. literacy, poor attendance, lack of social capital, etc.</w:t>
            </w:r>
          </w:p>
          <w:p w14:paraId="2EA90B98" w14:textId="3814F102" w:rsidR="00051D0F" w:rsidRPr="00A466FF" w:rsidRDefault="00051D0F" w:rsidP="1C0C5446">
            <w:pPr>
              <w:spacing w:before="120"/>
              <w:rPr>
                <w:rFonts w:asciiTheme="minorHAnsi" w:hAnsiTheme="minorHAnsi" w:cstheme="minorBidi"/>
                <w:color w:val="548DD4" w:themeColor="text2" w:themeTint="99"/>
              </w:rPr>
            </w:pPr>
            <w:r w:rsidRPr="00A466FF">
              <w:rPr>
                <w:rFonts w:asciiTheme="minorHAnsi" w:hAnsiTheme="minorHAnsi" w:cstheme="minorBidi"/>
                <w:color w:val="548DD4" w:themeColor="text2" w:themeTint="99"/>
              </w:rPr>
              <w:t>The dedicated children`s and families officer worked tirelessly with families to improve attendance. A</w:t>
            </w:r>
            <w:r w:rsidR="003D614A" w:rsidRPr="00A466FF">
              <w:rPr>
                <w:rFonts w:asciiTheme="minorHAnsi" w:hAnsiTheme="minorHAnsi" w:cstheme="minorBidi"/>
                <w:color w:val="548DD4" w:themeColor="text2" w:themeTint="99"/>
              </w:rPr>
              <w:t xml:space="preserve"> set of shared values has ensured that staff work together to effectively improve attendance this in turn has had a positive </w:t>
            </w:r>
            <w:bookmarkStart w:id="16" w:name="_Int_xF3memUa"/>
            <w:r w:rsidR="69AD39F8" w:rsidRPr="00A466FF">
              <w:rPr>
                <w:rFonts w:asciiTheme="minorHAnsi" w:hAnsiTheme="minorHAnsi" w:cstheme="minorBidi"/>
                <w:color w:val="548DD4" w:themeColor="text2" w:themeTint="99"/>
              </w:rPr>
              <w:t>effect</w:t>
            </w:r>
            <w:bookmarkEnd w:id="16"/>
            <w:r w:rsidR="003D614A" w:rsidRPr="00A466FF">
              <w:rPr>
                <w:rFonts w:asciiTheme="minorHAnsi" w:hAnsiTheme="minorHAnsi" w:cstheme="minorBidi"/>
                <w:color w:val="548DD4" w:themeColor="text2" w:themeTint="99"/>
              </w:rPr>
              <w:t xml:space="preserve"> on Reading in KS2</w:t>
            </w:r>
          </w:p>
          <w:p w14:paraId="5F9C9BF2" w14:textId="38ABA784" w:rsidR="00AA0736" w:rsidRPr="00C07D00" w:rsidRDefault="00C07D00" w:rsidP="1C0C5446">
            <w:pPr>
              <w:spacing w:before="120"/>
              <w:rPr>
                <w:rFonts w:asciiTheme="minorHAnsi" w:hAnsiTheme="minorHAnsi" w:cstheme="minorBidi"/>
              </w:rPr>
            </w:pPr>
            <w:r w:rsidRPr="1C0C5446">
              <w:rPr>
                <w:rFonts w:asciiTheme="minorHAnsi" w:hAnsiTheme="minorHAnsi" w:cstheme="minorBidi"/>
              </w:rPr>
              <w:t xml:space="preserve">4. </w:t>
            </w:r>
            <w:r w:rsidR="00AA0736" w:rsidRPr="1C0C5446">
              <w:rPr>
                <w:rFonts w:asciiTheme="minorHAnsi" w:hAnsiTheme="minorHAnsi" w:cstheme="minorBidi"/>
              </w:rPr>
              <w:t xml:space="preserve">To achieve our </w:t>
            </w:r>
            <w:r w:rsidR="00AA0736" w:rsidRPr="1C0C5446">
              <w:rPr>
                <w:rFonts w:asciiTheme="minorHAnsi" w:hAnsiTheme="minorHAnsi" w:cstheme="minorBidi"/>
                <w:color w:val="auto"/>
              </w:rPr>
              <w:t xml:space="preserve">objectives the school </w:t>
            </w:r>
            <w:r w:rsidR="00B740F1" w:rsidRPr="1C0C5446">
              <w:rPr>
                <w:rFonts w:asciiTheme="minorHAnsi" w:hAnsiTheme="minorHAnsi" w:cstheme="minorBidi"/>
                <w:color w:val="auto"/>
              </w:rPr>
              <w:t>uses</w:t>
            </w:r>
            <w:r w:rsidR="00AA0736" w:rsidRPr="1C0C5446">
              <w:rPr>
                <w:rFonts w:asciiTheme="minorHAnsi" w:hAnsiTheme="minorHAnsi" w:cstheme="minorBidi"/>
                <w:color w:val="auto"/>
              </w:rPr>
              <w:t xml:space="preserve"> the tiered approach </w:t>
            </w:r>
            <w:r w:rsidR="00B740F1" w:rsidRPr="1C0C5446">
              <w:rPr>
                <w:rFonts w:asciiTheme="minorHAnsi" w:hAnsiTheme="minorHAnsi" w:cstheme="minorBidi"/>
                <w:color w:val="auto"/>
              </w:rPr>
              <w:t>to teaching as recommended</w:t>
            </w:r>
            <w:r w:rsidR="00467CAB" w:rsidRPr="1C0C5446">
              <w:rPr>
                <w:rFonts w:asciiTheme="minorHAnsi" w:hAnsiTheme="minorHAnsi" w:cstheme="minorBidi"/>
                <w:color w:val="auto"/>
              </w:rPr>
              <w:t xml:space="preserve"> </w:t>
            </w:r>
            <w:r w:rsidR="00467CAB" w:rsidRPr="1C0C5446">
              <w:rPr>
                <w:rFonts w:asciiTheme="minorHAnsi" w:hAnsiTheme="minorHAnsi" w:cstheme="minorBidi"/>
              </w:rPr>
              <w:t xml:space="preserve">by the Education Endowment Foundation with </w:t>
            </w:r>
            <w:r w:rsidR="00AA0736" w:rsidRPr="1C0C5446">
              <w:rPr>
                <w:rFonts w:asciiTheme="minorHAnsi" w:hAnsiTheme="minorHAnsi" w:cstheme="minorBidi"/>
              </w:rPr>
              <w:t>Quality First</w:t>
            </w:r>
            <w:r w:rsidR="00467CAB" w:rsidRPr="1C0C5446">
              <w:rPr>
                <w:rFonts w:asciiTheme="minorHAnsi" w:hAnsiTheme="minorHAnsi" w:cstheme="minorBidi"/>
              </w:rPr>
              <w:t xml:space="preserve"> teaching being at the heart of our approach. This approach will be supported by academic interventions and wider non –teaching strategies. Underpinning our </w:t>
            </w:r>
            <w:r w:rsidR="00922FF7" w:rsidRPr="1C0C5446">
              <w:rPr>
                <w:rFonts w:asciiTheme="minorHAnsi" w:hAnsiTheme="minorHAnsi" w:cstheme="minorBidi"/>
              </w:rPr>
              <w:t xml:space="preserve">strategy is the development of high quality-teaching </w:t>
            </w:r>
            <w:r w:rsidR="00307B6E" w:rsidRPr="1C0C5446">
              <w:rPr>
                <w:rFonts w:asciiTheme="minorHAnsi" w:hAnsiTheme="minorHAnsi" w:cstheme="minorBidi"/>
              </w:rPr>
              <w:t>CPD, alongside</w:t>
            </w:r>
            <w:r w:rsidR="00922FF7" w:rsidRPr="1C0C5446">
              <w:rPr>
                <w:rFonts w:asciiTheme="minorHAnsi" w:hAnsiTheme="minorHAnsi" w:cstheme="minorBidi"/>
              </w:rPr>
              <w:t xml:space="preserve"> the recruitment / retention of </w:t>
            </w:r>
            <w:bookmarkStart w:id="17" w:name="_Int_tOl2vF7b"/>
            <w:r w:rsidR="1F409C23" w:rsidRPr="1C0C5446">
              <w:rPr>
                <w:rFonts w:asciiTheme="minorHAnsi" w:hAnsiTheme="minorHAnsi" w:cstheme="minorBidi"/>
              </w:rPr>
              <w:t>high-quality</w:t>
            </w:r>
            <w:bookmarkEnd w:id="17"/>
            <w:r w:rsidR="00922FF7" w:rsidRPr="1C0C5446">
              <w:rPr>
                <w:rFonts w:asciiTheme="minorHAnsi" w:hAnsiTheme="minorHAnsi" w:cstheme="minorBidi"/>
              </w:rPr>
              <w:t xml:space="preserve"> teaching staff.</w:t>
            </w:r>
          </w:p>
          <w:p w14:paraId="72804CCC" w14:textId="55386D2C" w:rsidR="0069453B" w:rsidRPr="00C07D00" w:rsidRDefault="00307B6E" w:rsidP="00307B6E">
            <w:pPr>
              <w:spacing w:before="120"/>
              <w:rPr>
                <w:rFonts w:asciiTheme="minorHAnsi" w:hAnsiTheme="minorHAnsi" w:cstheme="minorHAnsi"/>
                <w:iCs/>
              </w:rPr>
            </w:pPr>
            <w:r w:rsidRPr="00C07D00">
              <w:rPr>
                <w:rFonts w:asciiTheme="minorHAnsi" w:hAnsiTheme="minorHAnsi" w:cstheme="minorHAnsi"/>
                <w:iCs/>
              </w:rPr>
              <w:t xml:space="preserve">Our strategy aim at St. Paul`s C of E Primary School is integral to our whole school development plan with regards to educational recovery, most significantly in a whole school approach of targeted support </w:t>
            </w:r>
            <w:r w:rsidR="008E6095" w:rsidRPr="00C07D00">
              <w:rPr>
                <w:rFonts w:asciiTheme="minorHAnsi" w:hAnsiTheme="minorHAnsi" w:cstheme="minorHAnsi"/>
                <w:iCs/>
              </w:rPr>
              <w:t xml:space="preserve">for pupils whose education has been the most disrupted during </w:t>
            </w:r>
            <w:proofErr w:type="spellStart"/>
            <w:r w:rsidR="008E6095" w:rsidRPr="00C07D00">
              <w:rPr>
                <w:rFonts w:asciiTheme="minorHAnsi" w:hAnsiTheme="minorHAnsi" w:cstheme="minorHAnsi"/>
                <w:iCs/>
              </w:rPr>
              <w:t>Covid</w:t>
            </w:r>
            <w:proofErr w:type="spellEnd"/>
            <w:r w:rsidR="008E6095" w:rsidRPr="00C07D00">
              <w:rPr>
                <w:rFonts w:asciiTheme="minorHAnsi" w:hAnsiTheme="minorHAnsi" w:cstheme="minorHAnsi"/>
                <w:iCs/>
              </w:rPr>
              <w:t>.</w:t>
            </w:r>
          </w:p>
          <w:p w14:paraId="75038D73" w14:textId="1D559C41" w:rsidR="008E6095" w:rsidRPr="00C07D00" w:rsidRDefault="008E6095" w:rsidP="00307B6E">
            <w:pPr>
              <w:spacing w:before="120"/>
              <w:rPr>
                <w:rFonts w:asciiTheme="minorHAnsi" w:hAnsiTheme="minorHAnsi" w:cstheme="minorHAnsi"/>
                <w:iCs/>
              </w:rPr>
            </w:pPr>
            <w:r w:rsidRPr="00C07D00">
              <w:rPr>
                <w:rFonts w:asciiTheme="minorHAnsi" w:hAnsiTheme="minorHAnsi" w:cstheme="minorHAnsi"/>
                <w:iCs/>
              </w:rPr>
              <w:lastRenderedPageBreak/>
              <w:t>Our approach is directly linked and responsive to common challenges and individual needs. It will be well planned and as a direct response to ongoing assessments.</w:t>
            </w:r>
          </w:p>
          <w:p w14:paraId="78582F12" w14:textId="2C25B575" w:rsidR="008E6095" w:rsidRPr="00C07D00" w:rsidRDefault="008E6095" w:rsidP="00307B6E">
            <w:pPr>
              <w:spacing w:before="120"/>
              <w:rPr>
                <w:rFonts w:asciiTheme="minorHAnsi" w:hAnsiTheme="minorHAnsi" w:cstheme="minorHAnsi"/>
                <w:iCs/>
              </w:rPr>
            </w:pPr>
            <w:r w:rsidRPr="00C07D00">
              <w:rPr>
                <w:rFonts w:asciiTheme="minorHAnsi" w:hAnsiTheme="minorHAnsi" w:cstheme="minorHAnsi"/>
                <w:iCs/>
              </w:rPr>
              <w:t>To ensure this is effective, we will:</w:t>
            </w:r>
          </w:p>
          <w:p w14:paraId="3DAF0BD1" w14:textId="71F4BF2B" w:rsidR="008E6095" w:rsidRDefault="008E6095" w:rsidP="008E6095">
            <w:pPr>
              <w:pStyle w:val="ListParagraph"/>
              <w:numPr>
                <w:ilvl w:val="0"/>
                <w:numId w:val="15"/>
              </w:numPr>
              <w:spacing w:before="120"/>
              <w:rPr>
                <w:rFonts w:asciiTheme="minorHAnsi" w:hAnsiTheme="minorHAnsi" w:cstheme="minorHAnsi"/>
                <w:iCs/>
              </w:rPr>
            </w:pPr>
            <w:r w:rsidRPr="00C07D00">
              <w:rPr>
                <w:rFonts w:asciiTheme="minorHAnsi" w:hAnsiTheme="minorHAnsi" w:cstheme="minorHAnsi"/>
                <w:iCs/>
              </w:rPr>
              <w:t>Ensure that all staff in school a</w:t>
            </w:r>
            <w:r w:rsidR="00504E56" w:rsidRPr="00C07D00">
              <w:rPr>
                <w:rFonts w:asciiTheme="minorHAnsi" w:hAnsiTheme="minorHAnsi" w:cstheme="minorHAnsi"/>
                <w:iCs/>
              </w:rPr>
              <w:t xml:space="preserve">re aware </w:t>
            </w:r>
            <w:r w:rsidR="00672375" w:rsidRPr="00C07D00">
              <w:rPr>
                <w:rFonts w:asciiTheme="minorHAnsi" w:hAnsiTheme="minorHAnsi" w:cstheme="minorHAnsi"/>
                <w:iCs/>
              </w:rPr>
              <w:t>of who</w:t>
            </w:r>
            <w:r w:rsidRPr="00C07D00">
              <w:rPr>
                <w:rFonts w:asciiTheme="minorHAnsi" w:hAnsiTheme="minorHAnsi" w:cstheme="minorHAnsi"/>
                <w:iCs/>
              </w:rPr>
              <w:t xml:space="preserve"> the disadvantaged children are in their class and target the children accordingly, providing sufficient challenge.</w:t>
            </w:r>
            <w:r w:rsidR="00504E56" w:rsidRPr="00C07D00">
              <w:rPr>
                <w:rFonts w:asciiTheme="minorHAnsi" w:hAnsiTheme="minorHAnsi" w:cstheme="minorHAnsi"/>
                <w:iCs/>
              </w:rPr>
              <w:t xml:space="preserve"> That all staff take responsibility for the children in their class and raise expectations.</w:t>
            </w:r>
          </w:p>
          <w:p w14:paraId="6B765693" w14:textId="014F2040" w:rsidR="00944471" w:rsidRPr="00A466FF" w:rsidRDefault="00944471" w:rsidP="00944471">
            <w:pPr>
              <w:pStyle w:val="ListParagraph"/>
              <w:numPr>
                <w:ilvl w:val="0"/>
                <w:numId w:val="0"/>
              </w:numPr>
              <w:spacing w:before="120"/>
              <w:ind w:left="720"/>
              <w:rPr>
                <w:rFonts w:asciiTheme="minorHAnsi" w:hAnsiTheme="minorHAnsi" w:cstheme="minorHAnsi"/>
                <w:iCs/>
                <w:color w:val="548DD4" w:themeColor="text2" w:themeTint="99"/>
              </w:rPr>
            </w:pPr>
            <w:r w:rsidRPr="00A466FF">
              <w:rPr>
                <w:rFonts w:asciiTheme="minorHAnsi" w:hAnsiTheme="minorHAnsi" w:cstheme="minorHAnsi"/>
                <w:iCs/>
                <w:color w:val="548DD4" w:themeColor="text2" w:themeTint="99"/>
              </w:rPr>
              <w:t>All staff have lists and are aware of PP children in their class. These are updated  regularly ( each hal</w:t>
            </w:r>
            <w:r w:rsidR="003012DB">
              <w:rPr>
                <w:rFonts w:asciiTheme="minorHAnsi" w:hAnsiTheme="minorHAnsi" w:cstheme="minorHAnsi"/>
                <w:iCs/>
                <w:color w:val="548DD4" w:themeColor="text2" w:themeTint="99"/>
              </w:rPr>
              <w:t>f</w:t>
            </w:r>
            <w:r w:rsidRPr="00A466FF">
              <w:rPr>
                <w:rFonts w:asciiTheme="minorHAnsi" w:hAnsiTheme="minorHAnsi" w:cstheme="minorHAnsi"/>
                <w:iCs/>
                <w:color w:val="548DD4" w:themeColor="text2" w:themeTint="99"/>
              </w:rPr>
              <w:t xml:space="preserve"> term)</w:t>
            </w:r>
          </w:p>
          <w:p w14:paraId="118EA795" w14:textId="5F6C3432" w:rsidR="00504E56" w:rsidRDefault="00504E56" w:rsidP="008E6095">
            <w:pPr>
              <w:pStyle w:val="ListParagraph"/>
              <w:numPr>
                <w:ilvl w:val="0"/>
                <w:numId w:val="15"/>
              </w:numPr>
              <w:spacing w:before="120"/>
              <w:rPr>
                <w:rFonts w:asciiTheme="minorHAnsi" w:hAnsiTheme="minorHAnsi" w:cstheme="minorHAnsi"/>
                <w:iCs/>
              </w:rPr>
            </w:pPr>
            <w:r w:rsidRPr="00C07D00">
              <w:rPr>
                <w:rFonts w:asciiTheme="minorHAnsi" w:hAnsiTheme="minorHAnsi" w:cstheme="minorHAnsi"/>
                <w:iCs/>
              </w:rPr>
              <w:t>As a staff we will provide early intervention, when a need arises and source the appropriate support.</w:t>
            </w:r>
          </w:p>
          <w:p w14:paraId="64B2932A" w14:textId="54851350" w:rsidR="00944471" w:rsidRPr="00A466FF" w:rsidRDefault="00944471" w:rsidP="00944471">
            <w:pPr>
              <w:pStyle w:val="ListParagraph"/>
              <w:numPr>
                <w:ilvl w:val="0"/>
                <w:numId w:val="0"/>
              </w:numPr>
              <w:spacing w:before="120"/>
              <w:ind w:left="720"/>
              <w:rPr>
                <w:rFonts w:asciiTheme="minorHAnsi" w:hAnsiTheme="minorHAnsi" w:cstheme="minorHAnsi"/>
                <w:iCs/>
                <w:color w:val="548DD4" w:themeColor="text2" w:themeTint="99"/>
              </w:rPr>
            </w:pPr>
            <w:r w:rsidRPr="00A466FF">
              <w:rPr>
                <w:rFonts w:asciiTheme="minorHAnsi" w:hAnsiTheme="minorHAnsi" w:cstheme="minorHAnsi"/>
                <w:iCs/>
                <w:color w:val="548DD4" w:themeColor="text2" w:themeTint="99"/>
              </w:rPr>
              <w:t xml:space="preserve">Intervention groups are provided and booster sessions for Year 6. Children in Reception and KS1 have phonics daily where the children are assessed regularly and have appropriate intervention. 1-1, another bite of the </w:t>
            </w:r>
            <w:proofErr w:type="gramStart"/>
            <w:r w:rsidRPr="00A466FF">
              <w:rPr>
                <w:rFonts w:asciiTheme="minorHAnsi" w:hAnsiTheme="minorHAnsi" w:cstheme="minorHAnsi"/>
                <w:iCs/>
                <w:color w:val="548DD4" w:themeColor="text2" w:themeTint="99"/>
              </w:rPr>
              <w:t>cherry ,</w:t>
            </w:r>
            <w:proofErr w:type="gramEnd"/>
            <w:r w:rsidRPr="00A466FF">
              <w:rPr>
                <w:rFonts w:asciiTheme="minorHAnsi" w:hAnsiTheme="minorHAnsi" w:cstheme="minorHAnsi"/>
                <w:iCs/>
                <w:color w:val="548DD4" w:themeColor="text2" w:themeTint="99"/>
              </w:rPr>
              <w:t xml:space="preserve"> keep up not catch up.</w:t>
            </w:r>
          </w:p>
          <w:p w14:paraId="1042D595" w14:textId="77777777" w:rsidR="00E66558" w:rsidRPr="00944471" w:rsidRDefault="00504E56" w:rsidP="00504E56">
            <w:pPr>
              <w:pStyle w:val="ListParagraph"/>
              <w:numPr>
                <w:ilvl w:val="0"/>
                <w:numId w:val="15"/>
              </w:numPr>
              <w:spacing w:before="120"/>
              <w:rPr>
                <w:rFonts w:asciiTheme="minorHAnsi" w:hAnsiTheme="minorHAnsi" w:cstheme="minorHAnsi"/>
                <w:i/>
                <w:iCs/>
              </w:rPr>
            </w:pPr>
            <w:r w:rsidRPr="00C07D00">
              <w:rPr>
                <w:rFonts w:asciiTheme="minorHAnsi" w:hAnsiTheme="minorHAnsi" w:cstheme="minorHAnsi"/>
                <w:iCs/>
              </w:rPr>
              <w:t>We will work with the Children`s and Families Officer to increase attendance percentages and with the SEN</w:t>
            </w:r>
            <w:r w:rsidR="004147DD" w:rsidRPr="00C07D00">
              <w:rPr>
                <w:rFonts w:asciiTheme="minorHAnsi" w:hAnsiTheme="minorHAnsi" w:cstheme="minorHAnsi"/>
                <w:iCs/>
              </w:rPr>
              <w:t>D</w:t>
            </w:r>
            <w:r w:rsidRPr="00C07D00">
              <w:rPr>
                <w:rFonts w:asciiTheme="minorHAnsi" w:hAnsiTheme="minorHAnsi" w:cstheme="minorHAnsi"/>
                <w:iCs/>
              </w:rPr>
              <w:t>CO to ensure the correct professional help is sought for children that need it e</w:t>
            </w:r>
            <w:r w:rsidR="004147DD" w:rsidRPr="00C07D00">
              <w:rPr>
                <w:rFonts w:asciiTheme="minorHAnsi" w:hAnsiTheme="minorHAnsi" w:cstheme="minorHAnsi"/>
                <w:iCs/>
              </w:rPr>
              <w:t>.</w:t>
            </w:r>
            <w:r w:rsidRPr="00C07D00">
              <w:rPr>
                <w:rFonts w:asciiTheme="minorHAnsi" w:hAnsiTheme="minorHAnsi" w:cstheme="minorHAnsi"/>
                <w:iCs/>
              </w:rPr>
              <w:t>g</w:t>
            </w:r>
            <w:r w:rsidR="004147DD" w:rsidRPr="00C07D00">
              <w:rPr>
                <w:rFonts w:asciiTheme="minorHAnsi" w:hAnsiTheme="minorHAnsi" w:cstheme="minorHAnsi"/>
                <w:iCs/>
              </w:rPr>
              <w:t>.</w:t>
            </w:r>
            <w:r w:rsidRPr="00C07D00">
              <w:rPr>
                <w:rFonts w:asciiTheme="minorHAnsi" w:hAnsiTheme="minorHAnsi" w:cstheme="minorHAnsi"/>
                <w:iCs/>
              </w:rPr>
              <w:t xml:space="preserve"> mental health support and SEN</w:t>
            </w:r>
            <w:r w:rsidR="004147DD" w:rsidRPr="00C07D00">
              <w:rPr>
                <w:rFonts w:asciiTheme="minorHAnsi" w:hAnsiTheme="minorHAnsi" w:cstheme="minorHAnsi"/>
                <w:iCs/>
              </w:rPr>
              <w:t>D</w:t>
            </w:r>
            <w:r w:rsidRPr="00C07D00">
              <w:rPr>
                <w:rFonts w:asciiTheme="minorHAnsi" w:hAnsiTheme="minorHAnsi" w:cstheme="minorHAnsi"/>
                <w:iCs/>
              </w:rPr>
              <w:t xml:space="preserve"> support.</w:t>
            </w:r>
          </w:p>
          <w:p w14:paraId="2A7D54E9" w14:textId="4AA2B30D" w:rsidR="00944471" w:rsidRPr="00C07D00" w:rsidRDefault="00D04DAE" w:rsidP="003012DB">
            <w:pPr>
              <w:pStyle w:val="ListParagraph"/>
              <w:numPr>
                <w:ilvl w:val="0"/>
                <w:numId w:val="0"/>
              </w:numPr>
              <w:spacing w:before="120"/>
              <w:ind w:left="720"/>
              <w:rPr>
                <w:rFonts w:asciiTheme="minorHAnsi" w:hAnsiTheme="minorHAnsi" w:cstheme="minorHAnsi"/>
                <w:i/>
                <w:iCs/>
              </w:rPr>
            </w:pPr>
            <w:r w:rsidRPr="00A466FF">
              <w:rPr>
                <w:rFonts w:asciiTheme="minorHAnsi" w:hAnsiTheme="minorHAnsi" w:cstheme="minorHAnsi"/>
                <w:iCs/>
                <w:color w:val="548DD4" w:themeColor="text2" w:themeTint="99"/>
              </w:rPr>
              <w:t>Children`s and families officer has been funded a</w:t>
            </w:r>
            <w:r w:rsidR="003012DB">
              <w:rPr>
                <w:rFonts w:asciiTheme="minorHAnsi" w:hAnsiTheme="minorHAnsi" w:cstheme="minorHAnsi"/>
                <w:iCs/>
                <w:color w:val="548DD4" w:themeColor="text2" w:themeTint="99"/>
              </w:rPr>
              <w:t>nd</w:t>
            </w:r>
            <w:r w:rsidRPr="00A466FF">
              <w:rPr>
                <w:rFonts w:asciiTheme="minorHAnsi" w:hAnsiTheme="minorHAnsi" w:cstheme="minorHAnsi"/>
                <w:iCs/>
                <w:color w:val="548DD4" w:themeColor="text2" w:themeTint="99"/>
              </w:rPr>
              <w:t xml:space="preserve"> had training to support children with mental health. EMTAS has been funded to support children’s language. A dedicated SALT professional screens EYFS to ensure early intervention and SENCO has sought specialist support to identify childr</w:t>
            </w:r>
            <w:r w:rsidR="003012DB">
              <w:rPr>
                <w:rFonts w:asciiTheme="minorHAnsi" w:hAnsiTheme="minorHAnsi" w:cstheme="minorHAnsi"/>
                <w:iCs/>
                <w:color w:val="548DD4" w:themeColor="text2" w:themeTint="99"/>
              </w:rPr>
              <w:t>en who have been identified as n</w:t>
            </w:r>
            <w:r w:rsidRPr="00A466FF">
              <w:rPr>
                <w:rFonts w:asciiTheme="minorHAnsi" w:hAnsiTheme="minorHAnsi" w:cstheme="minorHAnsi"/>
                <w:iCs/>
                <w:color w:val="548DD4" w:themeColor="text2" w:themeTint="99"/>
              </w:rPr>
              <w:t>eeding a</w:t>
            </w:r>
            <w:r w:rsidR="00A466FF">
              <w:rPr>
                <w:rFonts w:asciiTheme="minorHAnsi" w:hAnsiTheme="minorHAnsi" w:cstheme="minorHAnsi"/>
                <w:iCs/>
                <w:color w:val="548DD4" w:themeColor="text2" w:themeTint="99"/>
              </w:rPr>
              <w:t>n</w:t>
            </w:r>
            <w:r w:rsidRPr="00A466FF">
              <w:rPr>
                <w:rFonts w:asciiTheme="minorHAnsi" w:hAnsiTheme="minorHAnsi" w:cstheme="minorHAnsi"/>
                <w:iCs/>
                <w:color w:val="548DD4" w:themeColor="text2" w:themeTint="99"/>
              </w:rPr>
              <w:t xml:space="preserve"> EHCP.</w:t>
            </w:r>
          </w:p>
        </w:tc>
      </w:tr>
    </w:tbl>
    <w:p w14:paraId="2A7D54EB" w14:textId="77777777" w:rsidR="00E66558" w:rsidRPr="00C07D00" w:rsidRDefault="009D71E8">
      <w:pPr>
        <w:pStyle w:val="Heading2"/>
        <w:spacing w:before="600"/>
        <w:rPr>
          <w:rFonts w:asciiTheme="minorHAnsi" w:hAnsiTheme="minorHAnsi" w:cstheme="minorHAnsi"/>
        </w:rPr>
      </w:pPr>
      <w:r w:rsidRPr="00C07D00">
        <w:rPr>
          <w:rFonts w:asciiTheme="minorHAnsi" w:hAnsiTheme="minorHAnsi" w:cstheme="minorHAnsi"/>
        </w:rPr>
        <w:lastRenderedPageBreak/>
        <w:t>Challenges</w:t>
      </w:r>
    </w:p>
    <w:p w14:paraId="2A7D54EC" w14:textId="77777777" w:rsidR="00E66558" w:rsidRPr="00C07D00" w:rsidRDefault="009D71E8">
      <w:pPr>
        <w:spacing w:before="120" w:line="240" w:lineRule="auto"/>
        <w:textAlignment w:val="baseline"/>
        <w:outlineLvl w:val="0"/>
        <w:rPr>
          <w:rFonts w:asciiTheme="minorHAnsi" w:hAnsiTheme="minorHAnsi" w:cstheme="minorHAnsi"/>
        </w:rPr>
      </w:pPr>
      <w:r w:rsidRPr="00C07D00">
        <w:rPr>
          <w:rFonts w:asciiTheme="minorHAnsi" w:hAnsiTheme="minorHAnsi" w:cstheme="minorHAnsi"/>
          <w:bCs/>
          <w:color w:val="auto"/>
        </w:rPr>
        <w:t>This details</w:t>
      </w:r>
      <w:r w:rsidRPr="00C07D00">
        <w:rPr>
          <w:rFonts w:asciiTheme="minorHAnsi" w:hAnsiTheme="minorHAnsi" w:cstheme="minorHAnsi"/>
          <w:color w:val="auto"/>
        </w:rPr>
        <w:t xml:space="preserve"> the key</w:t>
      </w:r>
      <w:r w:rsidRPr="00C07D00">
        <w:rPr>
          <w:rFonts w:asciiTheme="minorHAnsi" w:hAnsiTheme="minorHAnsi" w:cstheme="minorHAnsi"/>
          <w:bCs/>
          <w:color w:val="auto"/>
        </w:rPr>
        <w:t xml:space="preserve"> </w:t>
      </w:r>
      <w:r w:rsidRPr="00C07D00">
        <w:rPr>
          <w:rFonts w:asciiTheme="minorHAnsi" w:hAnsiTheme="minorHAnsi" w:cstheme="minorHAnsi"/>
          <w:color w:val="auto"/>
        </w:rPr>
        <w:t xml:space="preserve">challenges to </w:t>
      </w:r>
      <w:r w:rsidRPr="00C07D00">
        <w:rPr>
          <w:rFonts w:asciiTheme="minorHAnsi" w:hAnsiTheme="minorHAnsi" w:cstheme="minorHAnsi"/>
          <w:bCs/>
          <w:color w:val="auto"/>
        </w:rPr>
        <w:t>achievement that we have</w:t>
      </w:r>
      <w:r w:rsidRPr="00C07D00">
        <w:rPr>
          <w:rFonts w:asciiTheme="minorHAnsi" w:hAnsiTheme="minorHAnsi" w:cstheme="minorHAnsi"/>
          <w:color w:val="auto"/>
        </w:rPr>
        <w:t xml:space="preserve"> identified among </w:t>
      </w:r>
      <w:r w:rsidRPr="00C07D00">
        <w:rPr>
          <w:rFonts w:asciiTheme="minorHAnsi" w:hAnsiTheme="minorHAnsi" w:cstheme="minorHAnsi"/>
          <w:bCs/>
          <w:color w:val="auto"/>
        </w:rPr>
        <w:t>our</w:t>
      </w:r>
      <w:r w:rsidRPr="00C07D00">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C07D00"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 xml:space="preserve">Detail of challenge </w:t>
            </w:r>
          </w:p>
        </w:tc>
      </w:tr>
      <w:tr w:rsidR="00E66558" w:rsidRPr="00C07D00"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07D00" w:rsidRDefault="009D71E8">
            <w:pPr>
              <w:pStyle w:val="TableRow"/>
              <w:rPr>
                <w:rFonts w:asciiTheme="minorHAnsi" w:hAnsiTheme="minorHAnsi" w:cstheme="minorHAnsi"/>
                <w:sz w:val="22"/>
                <w:szCs w:val="22"/>
              </w:rPr>
            </w:pPr>
            <w:r w:rsidRPr="00C07D00">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6AC9" w14:textId="77777777" w:rsidR="00E66558" w:rsidRDefault="00B34444" w:rsidP="00AF339F">
            <w:pPr>
              <w:pStyle w:val="TableRowCentered"/>
              <w:jc w:val="left"/>
              <w:rPr>
                <w:rFonts w:asciiTheme="minorHAnsi" w:hAnsiTheme="minorHAnsi" w:cstheme="minorHAnsi"/>
                <w:szCs w:val="24"/>
              </w:rPr>
            </w:pPr>
            <w:r w:rsidRPr="00C07D00">
              <w:rPr>
                <w:rFonts w:asciiTheme="minorHAnsi" w:hAnsiTheme="minorHAnsi" w:cstheme="minorHAnsi"/>
                <w:szCs w:val="24"/>
              </w:rPr>
              <w:t xml:space="preserve">Assessments and observation </w:t>
            </w:r>
            <w:r w:rsidR="00504E56" w:rsidRPr="00C07D00">
              <w:rPr>
                <w:rFonts w:asciiTheme="minorHAnsi" w:hAnsiTheme="minorHAnsi" w:cstheme="minorHAnsi"/>
                <w:szCs w:val="24"/>
              </w:rPr>
              <w:t xml:space="preserve">suggest </w:t>
            </w:r>
            <w:r w:rsidRPr="00C07D00">
              <w:rPr>
                <w:rFonts w:asciiTheme="minorHAnsi" w:hAnsiTheme="minorHAnsi" w:cstheme="minorHAnsi"/>
                <w:szCs w:val="24"/>
              </w:rPr>
              <w:t>dis</w:t>
            </w:r>
            <w:r w:rsidR="00504E56" w:rsidRPr="00C07D00">
              <w:rPr>
                <w:rFonts w:asciiTheme="minorHAnsi" w:hAnsiTheme="minorHAnsi" w:cstheme="minorHAnsi"/>
                <w:szCs w:val="24"/>
              </w:rPr>
              <w:t>advantaged pupils generally have greater difficulties with phonics than their peers. This negatively impacts their development as readers.</w:t>
            </w:r>
          </w:p>
          <w:p w14:paraId="2A7D54F1" w14:textId="1C7AF7E1" w:rsidR="00D04DAE" w:rsidRPr="00D04DAE" w:rsidRDefault="00D04DAE" w:rsidP="003012DB">
            <w:pPr>
              <w:pStyle w:val="TableRowCentered"/>
              <w:jc w:val="left"/>
              <w:rPr>
                <w:rFonts w:asciiTheme="minorHAnsi" w:hAnsiTheme="minorHAnsi" w:cstheme="minorHAnsi"/>
                <w:color w:val="FF0000"/>
                <w:szCs w:val="24"/>
              </w:rPr>
            </w:pPr>
            <w:r w:rsidRPr="00A466FF">
              <w:rPr>
                <w:rFonts w:asciiTheme="minorHAnsi" w:hAnsiTheme="minorHAnsi" w:cstheme="minorHAnsi"/>
                <w:color w:val="548DD4" w:themeColor="text2" w:themeTint="99"/>
                <w:szCs w:val="24"/>
              </w:rPr>
              <w:t>On</w:t>
            </w:r>
            <w:r w:rsidR="003012DB">
              <w:rPr>
                <w:rFonts w:asciiTheme="minorHAnsi" w:hAnsiTheme="minorHAnsi" w:cstheme="minorHAnsi"/>
                <w:color w:val="548DD4" w:themeColor="text2" w:themeTint="99"/>
                <w:szCs w:val="24"/>
              </w:rPr>
              <w:t>-</w:t>
            </w:r>
            <w:r w:rsidRPr="00A466FF">
              <w:rPr>
                <w:rFonts w:asciiTheme="minorHAnsi" w:hAnsiTheme="minorHAnsi" w:cstheme="minorHAnsi"/>
                <w:color w:val="548DD4" w:themeColor="text2" w:themeTint="99"/>
                <w:szCs w:val="24"/>
              </w:rPr>
              <w:t xml:space="preserve">going assessment has ensured movement in phonics groups and specific children targeted for support. A dedicated TA </w:t>
            </w:r>
            <w:r w:rsidR="003012DB">
              <w:rPr>
                <w:rFonts w:asciiTheme="minorHAnsi" w:hAnsiTheme="minorHAnsi" w:cstheme="minorHAnsi"/>
                <w:color w:val="548DD4" w:themeColor="text2" w:themeTint="99"/>
                <w:szCs w:val="24"/>
              </w:rPr>
              <w:t>was provided</w:t>
            </w:r>
            <w:r w:rsidRPr="00A466FF">
              <w:rPr>
                <w:rFonts w:asciiTheme="minorHAnsi" w:hAnsiTheme="minorHAnsi" w:cstheme="minorHAnsi"/>
                <w:color w:val="548DD4" w:themeColor="text2" w:themeTint="99"/>
                <w:szCs w:val="24"/>
              </w:rPr>
              <w:t xml:space="preserve"> to support children in Year 2 </w:t>
            </w:r>
            <w:r w:rsidR="003012DB">
              <w:rPr>
                <w:rFonts w:asciiTheme="minorHAnsi" w:hAnsiTheme="minorHAnsi" w:cstheme="minorHAnsi"/>
                <w:color w:val="548DD4" w:themeColor="text2" w:themeTint="99"/>
                <w:szCs w:val="24"/>
              </w:rPr>
              <w:t xml:space="preserve">and to ensure they </w:t>
            </w:r>
            <w:r w:rsidRPr="00A466FF">
              <w:rPr>
                <w:rFonts w:asciiTheme="minorHAnsi" w:hAnsiTheme="minorHAnsi" w:cstheme="minorHAnsi"/>
                <w:color w:val="548DD4" w:themeColor="text2" w:themeTint="99"/>
                <w:szCs w:val="24"/>
              </w:rPr>
              <w:t xml:space="preserve">had support before retaking their phonics </w:t>
            </w:r>
            <w:r w:rsidR="003012DB">
              <w:rPr>
                <w:rFonts w:asciiTheme="minorHAnsi" w:hAnsiTheme="minorHAnsi" w:cstheme="minorHAnsi"/>
                <w:color w:val="548DD4" w:themeColor="text2" w:themeTint="99"/>
                <w:szCs w:val="24"/>
              </w:rPr>
              <w:t xml:space="preserve">to </w:t>
            </w:r>
            <w:r w:rsidRPr="00A466FF">
              <w:rPr>
                <w:rFonts w:asciiTheme="minorHAnsi" w:hAnsiTheme="minorHAnsi" w:cstheme="minorHAnsi"/>
                <w:color w:val="548DD4" w:themeColor="text2" w:themeTint="99"/>
                <w:szCs w:val="24"/>
              </w:rPr>
              <w:t>ensure</w:t>
            </w:r>
            <w:r w:rsidR="008033C4" w:rsidRPr="00A466FF">
              <w:rPr>
                <w:rFonts w:asciiTheme="minorHAnsi" w:hAnsiTheme="minorHAnsi" w:cstheme="minorHAnsi"/>
                <w:color w:val="548DD4" w:themeColor="text2" w:themeTint="99"/>
                <w:szCs w:val="24"/>
              </w:rPr>
              <w:t xml:space="preserve"> that maximum success was achieved. This was also applied in Year 1 where a supply was purchased to allow a TA to give 1-1 support to children in need.</w:t>
            </w:r>
          </w:p>
        </w:tc>
      </w:tr>
      <w:tr w:rsidR="00E66558" w:rsidRPr="00C07D00"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C07D00" w:rsidRDefault="009D71E8">
            <w:pPr>
              <w:pStyle w:val="TableRow"/>
              <w:rPr>
                <w:rFonts w:asciiTheme="minorHAnsi" w:hAnsiTheme="minorHAnsi" w:cstheme="minorHAnsi"/>
                <w:sz w:val="22"/>
                <w:szCs w:val="22"/>
              </w:rPr>
            </w:pPr>
            <w:r w:rsidRPr="00C07D00">
              <w:rPr>
                <w:rFonts w:asciiTheme="minorHAnsi" w:hAnsiTheme="minorHAnsi" w:cstheme="minorHAnsi"/>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6C1E7B8" w:rsidR="00E66558" w:rsidRPr="00C07D00" w:rsidRDefault="00582AE3">
            <w:pPr>
              <w:pStyle w:val="TableRowCentered"/>
              <w:jc w:val="left"/>
              <w:rPr>
                <w:rFonts w:asciiTheme="minorHAnsi" w:hAnsiTheme="minorHAnsi" w:cstheme="minorHAnsi"/>
                <w:szCs w:val="24"/>
              </w:rPr>
            </w:pPr>
            <w:r w:rsidRPr="00C07D00">
              <w:rPr>
                <w:rFonts w:asciiTheme="minorHAnsi" w:hAnsiTheme="minorHAnsi" w:cstheme="minorHAnsi"/>
                <w:szCs w:val="24"/>
              </w:rPr>
              <w:t>Punctuality and attendance</w:t>
            </w:r>
            <w:r w:rsidR="00A138F1" w:rsidRPr="00C07D00">
              <w:rPr>
                <w:rFonts w:asciiTheme="minorHAnsi" w:hAnsiTheme="minorHAnsi" w:cstheme="minorHAnsi"/>
                <w:szCs w:val="24"/>
              </w:rPr>
              <w:t>. To achieve and sustain improved attendance for all pupils, particularly our disadvantaged pupils.</w:t>
            </w:r>
          </w:p>
        </w:tc>
      </w:tr>
      <w:tr w:rsidR="00E66558" w:rsidRPr="00C07D00"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C07D00" w:rsidRDefault="009D71E8">
            <w:pPr>
              <w:pStyle w:val="TableRow"/>
              <w:rPr>
                <w:rFonts w:asciiTheme="minorHAnsi" w:hAnsiTheme="minorHAnsi" w:cstheme="minorHAnsi"/>
                <w:sz w:val="22"/>
                <w:szCs w:val="22"/>
              </w:rPr>
            </w:pPr>
            <w:r w:rsidRPr="00C07D00">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07F8" w14:textId="77777777" w:rsidR="00E66558" w:rsidRDefault="00A138F1" w:rsidP="00A138F1">
            <w:pPr>
              <w:pStyle w:val="TableRowCentered"/>
              <w:jc w:val="left"/>
              <w:rPr>
                <w:rFonts w:asciiTheme="minorHAnsi" w:hAnsiTheme="minorHAnsi" w:cstheme="minorHAnsi"/>
                <w:szCs w:val="24"/>
              </w:rPr>
            </w:pPr>
            <w:r w:rsidRPr="00C07D00">
              <w:rPr>
                <w:rFonts w:asciiTheme="minorHAnsi" w:hAnsiTheme="minorHAnsi" w:cstheme="minorHAnsi"/>
                <w:szCs w:val="24"/>
              </w:rPr>
              <w:t xml:space="preserve">Assessments (through SALT and </w:t>
            </w:r>
            <w:proofErr w:type="spellStart"/>
            <w:r w:rsidRPr="00C07D00">
              <w:rPr>
                <w:rFonts w:asciiTheme="minorHAnsi" w:hAnsiTheme="minorHAnsi" w:cstheme="minorHAnsi"/>
                <w:szCs w:val="24"/>
              </w:rPr>
              <w:t>Wellcomm</w:t>
            </w:r>
            <w:proofErr w:type="spellEnd"/>
            <w:r w:rsidRPr="00C07D00">
              <w:rPr>
                <w:rFonts w:asciiTheme="minorHAnsi" w:hAnsiTheme="minorHAnsi" w:cstheme="minorHAnsi"/>
                <w:szCs w:val="24"/>
              </w:rPr>
              <w:t xml:space="preserve"> Screening) and</w:t>
            </w:r>
            <w:r w:rsidR="00C26A3C" w:rsidRPr="00C07D00">
              <w:rPr>
                <w:rFonts w:asciiTheme="minorHAnsi" w:hAnsiTheme="minorHAnsi" w:cstheme="minorHAnsi"/>
                <w:szCs w:val="24"/>
              </w:rPr>
              <w:t xml:space="preserve"> observations, indicate un</w:t>
            </w:r>
            <w:r w:rsidRPr="00C07D00">
              <w:rPr>
                <w:rFonts w:asciiTheme="minorHAnsi" w:hAnsiTheme="minorHAnsi" w:cstheme="minorHAnsi"/>
                <w:szCs w:val="24"/>
              </w:rPr>
              <w:t>derdeveloped oral language skills and vocabulary gaps among many disadvantaged pupils. These are evident from Reception through to KS2 and in general, are more prevalent among our disadvantaged pupils than their peers.</w:t>
            </w:r>
          </w:p>
          <w:p w14:paraId="2A7D54F7" w14:textId="35116E3B" w:rsidR="008033C4" w:rsidRPr="008033C4" w:rsidRDefault="008033C4" w:rsidP="00A138F1">
            <w:pPr>
              <w:pStyle w:val="TableRowCentered"/>
              <w:jc w:val="left"/>
              <w:rPr>
                <w:rFonts w:asciiTheme="minorHAnsi" w:hAnsiTheme="minorHAnsi" w:cstheme="minorHAnsi"/>
                <w:color w:val="FF0000"/>
                <w:szCs w:val="24"/>
              </w:rPr>
            </w:pPr>
            <w:proofErr w:type="spellStart"/>
            <w:r w:rsidRPr="00A466FF">
              <w:rPr>
                <w:rFonts w:asciiTheme="minorHAnsi" w:hAnsiTheme="minorHAnsi" w:cstheme="minorHAnsi"/>
                <w:color w:val="548DD4" w:themeColor="text2" w:themeTint="99"/>
                <w:szCs w:val="24"/>
              </w:rPr>
              <w:t>Consitent</w:t>
            </w:r>
            <w:proofErr w:type="spellEnd"/>
            <w:r w:rsidRPr="00A466FF">
              <w:rPr>
                <w:rFonts w:asciiTheme="minorHAnsi" w:hAnsiTheme="minorHAnsi" w:cstheme="minorHAnsi"/>
                <w:color w:val="548DD4" w:themeColor="text2" w:themeTint="99"/>
                <w:szCs w:val="24"/>
              </w:rPr>
              <w:t xml:space="preserve"> 1-1 interventions in WELCOMM Ensured that 80% of children were at the expected level in Nursery.</w:t>
            </w:r>
          </w:p>
        </w:tc>
      </w:tr>
      <w:tr w:rsidR="00E66558" w:rsidRPr="00C07D00"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C07D00" w:rsidRDefault="009D71E8">
            <w:pPr>
              <w:pStyle w:val="TableRow"/>
              <w:rPr>
                <w:rFonts w:asciiTheme="minorHAnsi" w:hAnsiTheme="minorHAnsi" w:cstheme="minorHAnsi"/>
                <w:sz w:val="22"/>
                <w:szCs w:val="22"/>
              </w:rPr>
            </w:pPr>
            <w:r w:rsidRPr="00C07D00">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BC11" w14:textId="71F83CAE" w:rsidR="00A138F1" w:rsidRPr="00C07D00" w:rsidRDefault="00A138F1" w:rsidP="00A138F1">
            <w:pPr>
              <w:pStyle w:val="TableRowCentered"/>
              <w:jc w:val="both"/>
              <w:rPr>
                <w:rFonts w:asciiTheme="minorHAnsi" w:hAnsiTheme="minorHAnsi" w:cstheme="minorHAnsi"/>
                <w:iCs/>
                <w:szCs w:val="24"/>
              </w:rPr>
            </w:pPr>
            <w:r w:rsidRPr="00C07D00">
              <w:rPr>
                <w:rFonts w:asciiTheme="minorHAnsi" w:hAnsiTheme="minorHAnsi" w:cstheme="minorHAnsi"/>
                <w:iCs/>
                <w:szCs w:val="24"/>
              </w:rPr>
              <w:t xml:space="preserve">Our ongoing assessments and observations indicate that the education and wellbeing of many of our disadvantaged pupils have been impacted by partial school closures to a greater extent than for other pupils. These findings are supported by national studies. </w:t>
            </w:r>
          </w:p>
          <w:p w14:paraId="2A7D54FA" w14:textId="6D091A4F" w:rsidR="00E66558" w:rsidRPr="00C07D00" w:rsidRDefault="00A138F1" w:rsidP="00A138F1">
            <w:pPr>
              <w:pStyle w:val="TableRowCentered"/>
              <w:jc w:val="both"/>
              <w:rPr>
                <w:rFonts w:asciiTheme="minorHAnsi" w:hAnsiTheme="minorHAnsi" w:cstheme="minorHAnsi"/>
                <w:iCs/>
                <w:szCs w:val="24"/>
              </w:rPr>
            </w:pPr>
            <w:r w:rsidRPr="00C07D00">
              <w:rPr>
                <w:rFonts w:asciiTheme="minorHAnsi" w:hAnsiTheme="minorHAnsi" w:cstheme="minorHAnsi"/>
                <w:iCs/>
                <w:szCs w:val="24"/>
              </w:rPr>
              <w:t>This has resulted in significant knowle</w:t>
            </w:r>
            <w:r w:rsidR="00B34444" w:rsidRPr="00C07D00">
              <w:rPr>
                <w:rFonts w:asciiTheme="minorHAnsi" w:hAnsiTheme="minorHAnsi" w:cstheme="minorHAnsi"/>
                <w:iCs/>
                <w:szCs w:val="24"/>
              </w:rPr>
              <w:t>dge gaps leading to pupils fall</w:t>
            </w:r>
            <w:r w:rsidRPr="00C07D00">
              <w:rPr>
                <w:rFonts w:asciiTheme="minorHAnsi" w:hAnsiTheme="minorHAnsi" w:cstheme="minorHAnsi"/>
                <w:iCs/>
                <w:szCs w:val="24"/>
              </w:rPr>
              <w:t>ing further behind age-related expectations, especially in maths.</w:t>
            </w:r>
          </w:p>
        </w:tc>
      </w:tr>
    </w:tbl>
    <w:p w14:paraId="2A7D54FF" w14:textId="77777777" w:rsidR="00E66558" w:rsidRPr="00C07D00" w:rsidRDefault="009D71E8" w:rsidP="00A466FF">
      <w:pPr>
        <w:pStyle w:val="Heading2"/>
        <w:spacing w:before="360"/>
        <w:rPr>
          <w:rFonts w:asciiTheme="minorHAnsi" w:hAnsiTheme="minorHAnsi" w:cstheme="minorHAnsi"/>
        </w:rPr>
      </w:pPr>
      <w:bookmarkStart w:id="18" w:name="_Toc443397160"/>
      <w:r w:rsidRPr="00C07D00">
        <w:rPr>
          <w:rFonts w:asciiTheme="minorHAnsi" w:hAnsiTheme="minorHAnsi" w:cstheme="minorHAnsi"/>
        </w:rPr>
        <w:t xml:space="preserve">Intended outcomes </w:t>
      </w:r>
    </w:p>
    <w:p w14:paraId="2A7D5500" w14:textId="77777777" w:rsidR="00E66558" w:rsidRPr="00C07D00" w:rsidRDefault="009D71E8">
      <w:pPr>
        <w:rPr>
          <w:rFonts w:asciiTheme="minorHAnsi" w:hAnsiTheme="minorHAnsi" w:cstheme="minorHAnsi"/>
        </w:rPr>
      </w:pPr>
      <w:r w:rsidRPr="00C07D00">
        <w:rPr>
          <w:rFonts w:asciiTheme="minorHAnsi" w:hAnsiTheme="minorHAnsi" w:cstheme="minorHAnsi"/>
          <w:color w:val="auto"/>
        </w:rPr>
        <w:t xml:space="preserve">This explains the outcomes we are aiming for </w:t>
      </w:r>
      <w:r w:rsidRPr="00C07D00">
        <w:rPr>
          <w:rFonts w:asciiTheme="minorHAnsi" w:hAnsiTheme="minorHAnsi" w:cstheme="minorHAnsi"/>
          <w:b/>
          <w:bCs/>
          <w:color w:val="auto"/>
        </w:rPr>
        <w:t>by the end of our current strategy plan</w:t>
      </w:r>
      <w:r w:rsidRPr="00C07D00">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964"/>
        <w:gridCol w:w="5522"/>
      </w:tblGrid>
      <w:tr w:rsidR="00E66558" w:rsidRPr="00C07D00" w14:paraId="2A7D5503" w14:textId="77777777" w:rsidTr="00C07D00">
        <w:trPr>
          <w:trHeight w:val="579"/>
        </w:trPr>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Intended outcome</w:t>
            </w:r>
          </w:p>
        </w:tc>
        <w:tc>
          <w:tcPr>
            <w:tcW w:w="55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Success criteria</w:t>
            </w:r>
          </w:p>
        </w:tc>
      </w:tr>
      <w:tr w:rsidR="00E66558" w:rsidRPr="00C07D00" w14:paraId="2A7D5506" w14:textId="77777777" w:rsidTr="00C07D0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4620731" w:rsidR="00E66558" w:rsidRPr="00C07D00" w:rsidRDefault="00AF339F">
            <w:pPr>
              <w:pStyle w:val="TableRow"/>
              <w:rPr>
                <w:rFonts w:asciiTheme="minorHAnsi" w:hAnsiTheme="minorHAnsi" w:cstheme="minorHAnsi"/>
              </w:rPr>
            </w:pPr>
            <w:r w:rsidRPr="00C07D00">
              <w:rPr>
                <w:rFonts w:asciiTheme="minorHAnsi" w:hAnsiTheme="minorHAnsi" w:cstheme="minorHAnsi"/>
              </w:rPr>
              <w:t>1. Improved reading attainment among disadvantaged pupils.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4737211" w:rsidR="00E66558" w:rsidRPr="00C07D00" w:rsidRDefault="00684068">
            <w:pPr>
              <w:pStyle w:val="TableRowCentered"/>
              <w:jc w:val="left"/>
              <w:rPr>
                <w:rFonts w:asciiTheme="minorHAnsi" w:hAnsiTheme="minorHAnsi" w:cstheme="minorHAnsi"/>
                <w:szCs w:val="24"/>
              </w:rPr>
            </w:pPr>
            <w:r w:rsidRPr="00C07D00">
              <w:rPr>
                <w:rFonts w:asciiTheme="minorHAnsi" w:hAnsiTheme="minorHAnsi" w:cstheme="minorHAnsi"/>
                <w:color w:val="auto"/>
                <w:szCs w:val="24"/>
              </w:rPr>
              <w:t>Reading Data will show a rise in the attainment of disadvantaged children, with more disadvantaged children meeting the expected standards.</w:t>
            </w:r>
          </w:p>
        </w:tc>
      </w:tr>
      <w:tr w:rsidR="00E66558" w:rsidRPr="00C07D00" w14:paraId="2A7D5509" w14:textId="77777777" w:rsidTr="00C07D0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5596BE8" w:rsidR="00E66558" w:rsidRPr="00C07D00" w:rsidRDefault="00582AE3">
            <w:pPr>
              <w:pStyle w:val="TableRow"/>
              <w:rPr>
                <w:rFonts w:asciiTheme="minorHAnsi" w:hAnsiTheme="minorHAnsi" w:cstheme="minorHAnsi"/>
              </w:rPr>
            </w:pPr>
            <w:r w:rsidRPr="00C07D00">
              <w:rPr>
                <w:rFonts w:asciiTheme="minorHAnsi" w:hAnsiTheme="minorHAnsi" w:cstheme="minorHAnsi"/>
              </w:rPr>
              <w:t xml:space="preserve">2.Raised attendance through ongoing dialogue with </w:t>
            </w:r>
            <w:r w:rsidR="00A138F1" w:rsidRPr="00C07D00">
              <w:rPr>
                <w:rFonts w:asciiTheme="minorHAnsi" w:hAnsiTheme="minorHAnsi" w:cstheme="minorHAnsi"/>
              </w:rPr>
              <w:t>parents and external agencies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783CF4B" w:rsidR="00E66558" w:rsidRPr="00C07D00" w:rsidRDefault="00A138F1" w:rsidP="00C07D00">
            <w:pPr>
              <w:pStyle w:val="TableRowCentered"/>
              <w:jc w:val="left"/>
              <w:rPr>
                <w:rFonts w:asciiTheme="minorHAnsi" w:hAnsiTheme="minorHAnsi" w:cstheme="minorHAnsi"/>
                <w:szCs w:val="24"/>
              </w:rPr>
            </w:pPr>
            <w:r w:rsidRPr="00C07D00">
              <w:rPr>
                <w:rFonts w:asciiTheme="minorHAnsi" w:hAnsiTheme="minorHAnsi" w:cstheme="minorHAnsi"/>
                <w:szCs w:val="24"/>
              </w:rPr>
              <w:t>Attendance will be improved across the school. Sustained high attendance will mean that all children achieve the school target of 96% attendance.</w:t>
            </w:r>
          </w:p>
        </w:tc>
      </w:tr>
      <w:tr w:rsidR="00E66558" w:rsidRPr="00C07D00" w14:paraId="2A7D550C" w14:textId="77777777" w:rsidTr="00C07D0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49B564A" w:rsidR="00E66558" w:rsidRPr="00C07D00" w:rsidRDefault="00A138F1">
            <w:pPr>
              <w:pStyle w:val="TableRow"/>
              <w:rPr>
                <w:rFonts w:asciiTheme="minorHAnsi" w:hAnsiTheme="minorHAnsi" w:cstheme="minorHAnsi"/>
              </w:rPr>
            </w:pPr>
            <w:r w:rsidRPr="00C07D00">
              <w:rPr>
                <w:rFonts w:asciiTheme="minorHAnsi" w:hAnsiTheme="minorHAnsi" w:cstheme="minorHAnsi"/>
              </w:rPr>
              <w:t>3. Improved oral language skills and vocabulary among disadvantaged pupils.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8BEA52C" w:rsidR="00E66558" w:rsidRPr="00C07D00" w:rsidRDefault="00A138F1" w:rsidP="00A138F1">
            <w:pPr>
              <w:pStyle w:val="TableRowCentered"/>
              <w:jc w:val="left"/>
              <w:rPr>
                <w:rFonts w:asciiTheme="minorHAnsi" w:hAnsiTheme="minorHAnsi" w:cstheme="minorHAnsi"/>
                <w:szCs w:val="24"/>
              </w:rPr>
            </w:pPr>
            <w:r w:rsidRPr="00C07D00">
              <w:rPr>
                <w:rFonts w:asciiTheme="minorHAnsi" w:hAnsiTheme="minorHAnsi" w:cstheme="minorHAnsi"/>
                <w:szCs w:val="24"/>
              </w:rPr>
              <w:t xml:space="preserve">Assessments and observations indicate significantly improved oral language among disadvantaged pupils. This will be evident through ongoing </w:t>
            </w:r>
            <w:proofErr w:type="spellStart"/>
            <w:r w:rsidRPr="00C07D00">
              <w:rPr>
                <w:rFonts w:asciiTheme="minorHAnsi" w:hAnsiTheme="minorHAnsi" w:cstheme="minorHAnsi"/>
                <w:szCs w:val="24"/>
              </w:rPr>
              <w:t>Wellcom</w:t>
            </w:r>
            <w:proofErr w:type="spellEnd"/>
            <w:r w:rsidRPr="00C07D00">
              <w:rPr>
                <w:rFonts w:asciiTheme="minorHAnsi" w:hAnsiTheme="minorHAnsi" w:cstheme="minorHAnsi"/>
                <w:szCs w:val="24"/>
              </w:rPr>
              <w:t xml:space="preserve"> Assessments in Early Year</w:t>
            </w:r>
            <w:r w:rsidR="00C26A3C" w:rsidRPr="00C07D00">
              <w:rPr>
                <w:rFonts w:asciiTheme="minorHAnsi" w:hAnsiTheme="minorHAnsi" w:cstheme="minorHAnsi"/>
                <w:szCs w:val="24"/>
              </w:rPr>
              <w:t>s</w:t>
            </w:r>
            <w:r w:rsidRPr="00C07D00">
              <w:rPr>
                <w:rFonts w:asciiTheme="minorHAnsi" w:hAnsiTheme="minorHAnsi" w:cstheme="minorHAnsi"/>
                <w:szCs w:val="24"/>
              </w:rPr>
              <w:t xml:space="preserve"> and when triangulated with other sources of evidence, including engagement i</w:t>
            </w:r>
            <w:r w:rsidR="00C26A3C" w:rsidRPr="00C07D00">
              <w:rPr>
                <w:rFonts w:asciiTheme="minorHAnsi" w:hAnsiTheme="minorHAnsi" w:cstheme="minorHAnsi"/>
                <w:szCs w:val="24"/>
              </w:rPr>
              <w:t>n lessons, book scrutiny and on</w:t>
            </w:r>
            <w:r w:rsidRPr="00C07D00">
              <w:rPr>
                <w:rFonts w:asciiTheme="minorHAnsi" w:hAnsiTheme="minorHAnsi" w:cstheme="minorHAnsi"/>
                <w:szCs w:val="24"/>
              </w:rPr>
              <w:t>going formative assessment.</w:t>
            </w:r>
            <w:r w:rsidR="008033C4">
              <w:rPr>
                <w:rFonts w:asciiTheme="minorHAnsi" w:hAnsiTheme="minorHAnsi" w:cstheme="minorHAnsi"/>
                <w:szCs w:val="24"/>
              </w:rPr>
              <w:t xml:space="preserve"> </w:t>
            </w:r>
            <w:r w:rsidR="008033C4" w:rsidRPr="00A466FF">
              <w:rPr>
                <w:rFonts w:asciiTheme="minorHAnsi" w:hAnsiTheme="minorHAnsi" w:cstheme="minorHAnsi"/>
                <w:color w:val="548DD4" w:themeColor="text2" w:themeTint="99"/>
                <w:szCs w:val="24"/>
              </w:rPr>
              <w:t>WELLCOMM results showed a significant rise to 80%</w:t>
            </w:r>
          </w:p>
        </w:tc>
      </w:tr>
      <w:tr w:rsidR="00E66558" w:rsidRPr="00C07D00" w14:paraId="2A7D550F" w14:textId="77777777" w:rsidTr="00C07D0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A4B7EBF" w:rsidR="00E66558" w:rsidRPr="00C07D00" w:rsidRDefault="00A138F1" w:rsidP="00A138F1">
            <w:pPr>
              <w:pStyle w:val="TableRow"/>
              <w:rPr>
                <w:rFonts w:asciiTheme="minorHAnsi" w:hAnsiTheme="minorHAnsi" w:cstheme="minorHAnsi"/>
              </w:rPr>
            </w:pPr>
            <w:r w:rsidRPr="00C07D00">
              <w:rPr>
                <w:rFonts w:asciiTheme="minorHAnsi" w:hAnsiTheme="minorHAnsi" w:cstheme="minorHAnsi"/>
              </w:rPr>
              <w:t xml:space="preserve">4. Knowledge gaps of disadvantaged children will </w:t>
            </w:r>
            <w:r w:rsidR="00C26A3C" w:rsidRPr="00C07D00">
              <w:rPr>
                <w:rFonts w:asciiTheme="minorHAnsi" w:hAnsiTheme="minorHAnsi" w:cstheme="minorHAnsi"/>
              </w:rPr>
              <w:t xml:space="preserve">be </w:t>
            </w:r>
            <w:r w:rsidRPr="00C07D00">
              <w:rPr>
                <w:rFonts w:asciiTheme="minorHAnsi" w:hAnsiTheme="minorHAnsi" w:cstheme="minorHAnsi"/>
              </w:rPr>
              <w:t>addressed and disadvantaged children will make good progress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37DB9" w14:textId="77777777" w:rsidR="00E66558" w:rsidRDefault="00A138F1">
            <w:pPr>
              <w:pStyle w:val="TableRowCentered"/>
              <w:jc w:val="left"/>
              <w:rPr>
                <w:rFonts w:asciiTheme="minorHAnsi" w:hAnsiTheme="minorHAnsi" w:cstheme="minorHAnsi"/>
                <w:szCs w:val="24"/>
              </w:rPr>
            </w:pPr>
            <w:r w:rsidRPr="00C07D00">
              <w:rPr>
                <w:rFonts w:asciiTheme="minorHAnsi" w:hAnsiTheme="minorHAnsi" w:cstheme="minorHAnsi"/>
                <w:szCs w:val="24"/>
              </w:rPr>
              <w:t>Assessments and data will show an upward trend for disadvantaged children with more disadvantaged children meeting the expected standards in Maths, Reading and Writing.</w:t>
            </w:r>
          </w:p>
          <w:p w14:paraId="2A7D550E" w14:textId="7433EA77" w:rsidR="008033C4" w:rsidRPr="00C07D00" w:rsidRDefault="008033C4">
            <w:pPr>
              <w:pStyle w:val="TableRowCentered"/>
              <w:jc w:val="left"/>
              <w:rPr>
                <w:rFonts w:asciiTheme="minorHAnsi" w:hAnsiTheme="minorHAnsi" w:cstheme="minorHAnsi"/>
                <w:szCs w:val="24"/>
              </w:rPr>
            </w:pPr>
            <w:r w:rsidRPr="00A466FF">
              <w:rPr>
                <w:rFonts w:asciiTheme="minorHAnsi" w:hAnsiTheme="minorHAnsi" w:cstheme="minorHAnsi"/>
                <w:color w:val="548DD4" w:themeColor="text2" w:themeTint="99"/>
                <w:szCs w:val="24"/>
              </w:rPr>
              <w:t>This is ongoing</w:t>
            </w:r>
          </w:p>
        </w:tc>
      </w:tr>
    </w:tbl>
    <w:p w14:paraId="2A7D5512" w14:textId="7B489199" w:rsidR="00E66558" w:rsidRPr="00C07D00" w:rsidRDefault="009D71E8">
      <w:pPr>
        <w:pStyle w:val="Heading2"/>
        <w:rPr>
          <w:rFonts w:asciiTheme="minorHAnsi" w:hAnsiTheme="minorHAnsi" w:cstheme="minorHAnsi"/>
        </w:rPr>
      </w:pPr>
      <w:r w:rsidRPr="00C07D00">
        <w:rPr>
          <w:rFonts w:asciiTheme="minorHAnsi" w:hAnsiTheme="minorHAnsi" w:cstheme="minorHAnsi"/>
        </w:rPr>
        <w:lastRenderedPageBreak/>
        <w:t>Activity in this academic year</w:t>
      </w:r>
    </w:p>
    <w:p w14:paraId="2A7D5513" w14:textId="77777777" w:rsidR="00E66558" w:rsidRPr="00C07D00" w:rsidRDefault="009D71E8">
      <w:pPr>
        <w:spacing w:after="480"/>
        <w:rPr>
          <w:rFonts w:asciiTheme="minorHAnsi" w:hAnsiTheme="minorHAnsi" w:cstheme="minorHAnsi"/>
        </w:rPr>
      </w:pPr>
      <w:r w:rsidRPr="00C07D00">
        <w:rPr>
          <w:rFonts w:asciiTheme="minorHAnsi" w:hAnsiTheme="minorHAnsi" w:cstheme="minorHAnsi"/>
        </w:rPr>
        <w:t xml:space="preserve">This details how we intend to spend our pupil premium (and recovery premium funding) </w:t>
      </w:r>
      <w:r w:rsidRPr="00C07D00">
        <w:rPr>
          <w:rFonts w:asciiTheme="minorHAnsi" w:hAnsiTheme="minorHAnsi" w:cstheme="minorHAnsi"/>
          <w:b/>
          <w:bCs/>
        </w:rPr>
        <w:t>this academic year</w:t>
      </w:r>
      <w:r w:rsidRPr="00C07D00">
        <w:rPr>
          <w:rFonts w:asciiTheme="minorHAnsi" w:hAnsiTheme="minorHAnsi" w:cstheme="minorHAnsi"/>
        </w:rPr>
        <w:t xml:space="preserve"> to address the challenges listed above.</w:t>
      </w:r>
    </w:p>
    <w:p w14:paraId="2A7D5514" w14:textId="77777777" w:rsidR="00E66558" w:rsidRPr="00C07D00" w:rsidRDefault="009D71E8">
      <w:pPr>
        <w:pStyle w:val="Heading3"/>
        <w:rPr>
          <w:rFonts w:asciiTheme="minorHAnsi" w:hAnsiTheme="minorHAnsi" w:cstheme="minorHAnsi"/>
        </w:rPr>
      </w:pPr>
      <w:r w:rsidRPr="00C07D00">
        <w:rPr>
          <w:rFonts w:asciiTheme="minorHAnsi" w:hAnsiTheme="minorHAnsi" w:cstheme="minorHAnsi"/>
        </w:rPr>
        <w:t>Teaching (for example, CPD, recruitment and retention)</w:t>
      </w:r>
    </w:p>
    <w:p w14:paraId="2A7D5515" w14:textId="2B786994" w:rsidR="00E66558" w:rsidRPr="00C07D00" w:rsidRDefault="008A66DF">
      <w:pPr>
        <w:rPr>
          <w:rFonts w:asciiTheme="minorHAnsi" w:hAnsiTheme="minorHAnsi" w:cstheme="minorHAnsi"/>
          <w:color w:val="auto"/>
        </w:rPr>
      </w:pPr>
      <w:r>
        <w:rPr>
          <w:rFonts w:asciiTheme="minorHAnsi" w:hAnsiTheme="minorHAnsi" w:cstheme="minorHAnsi"/>
          <w:color w:val="auto"/>
        </w:rPr>
        <w:t>Budgeted cost: £12,427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C07D00"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Challenge number(s) addressed</w:t>
            </w:r>
          </w:p>
        </w:tc>
      </w:tr>
      <w:tr w:rsidR="00E66558" w:rsidRPr="00C07D00"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36086BB" w:rsidR="00E66558" w:rsidRPr="00C07D00" w:rsidRDefault="005B1580">
            <w:pPr>
              <w:pStyle w:val="TableRow"/>
              <w:rPr>
                <w:rFonts w:asciiTheme="minorHAnsi" w:hAnsiTheme="minorHAnsi" w:cstheme="minorHAnsi"/>
              </w:rPr>
            </w:pPr>
            <w:r w:rsidRPr="00C07D00">
              <w:rPr>
                <w:rFonts w:asciiTheme="minorHAnsi" w:hAnsiTheme="minorHAnsi" w:cstheme="minorHAnsi"/>
              </w:rPr>
              <w:t xml:space="preserve">Training for all staff in the delivery of our phonic scheme and the </w:t>
            </w:r>
            <w:r w:rsidR="00112C55" w:rsidRPr="00C07D00">
              <w:rPr>
                <w:rFonts w:asciiTheme="minorHAnsi" w:hAnsiTheme="minorHAnsi" w:cstheme="minorHAnsi"/>
              </w:rPr>
              <w:t>p</w:t>
            </w:r>
            <w:r w:rsidRPr="00C07D00">
              <w:rPr>
                <w:rFonts w:asciiTheme="minorHAnsi" w:hAnsiTheme="minorHAnsi" w:cstheme="minorHAnsi"/>
              </w:rPr>
              <w:t xml:space="preserve">urchase of a further subscription to the </w:t>
            </w:r>
            <w:proofErr w:type="spellStart"/>
            <w:r w:rsidRPr="00C07D00">
              <w:rPr>
                <w:rFonts w:asciiTheme="minorHAnsi" w:hAnsiTheme="minorHAnsi" w:cstheme="minorHAnsi"/>
              </w:rPr>
              <w:t>DfE</w:t>
            </w:r>
            <w:proofErr w:type="spellEnd"/>
            <w:r w:rsidRPr="00C07D00">
              <w:rPr>
                <w:rFonts w:asciiTheme="minorHAnsi" w:hAnsiTheme="minorHAnsi" w:cstheme="minorHAnsi"/>
              </w:rPr>
              <w:t xml:space="preserve"> validated Systematic </w:t>
            </w:r>
            <w:r w:rsidR="00112C55" w:rsidRPr="00C07D00">
              <w:rPr>
                <w:rFonts w:asciiTheme="minorHAnsi" w:hAnsiTheme="minorHAnsi" w:cstheme="minorHAnsi"/>
              </w:rPr>
              <w:t>Synthetic Phon</w:t>
            </w:r>
            <w:r w:rsidRPr="00C07D00">
              <w:rPr>
                <w:rFonts w:asciiTheme="minorHAnsi" w:hAnsiTheme="minorHAnsi" w:cstheme="minorHAnsi"/>
              </w:rPr>
              <w:t>ics programme RWI along with additional resource</w:t>
            </w:r>
            <w:r w:rsidR="00112C55" w:rsidRPr="00C07D00">
              <w:rPr>
                <w:rFonts w:asciiTheme="minorHAnsi" w:hAnsiTheme="minorHAnsi" w:cstheme="minorHAnsi"/>
              </w:rPr>
              <w:t>s and support from our English H</w:t>
            </w:r>
            <w:r w:rsidRPr="00C07D00">
              <w:rPr>
                <w:rFonts w:asciiTheme="minorHAnsi" w:hAnsiTheme="minorHAnsi" w:cstheme="minorHAnsi"/>
              </w:rPr>
              <w:t>ub to secure stronger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ADD7F" w14:textId="77777777" w:rsidR="005B1580" w:rsidRPr="00C07D00" w:rsidRDefault="005B1580" w:rsidP="00AA666F">
            <w:pPr>
              <w:pStyle w:val="TableRowCentered"/>
              <w:jc w:val="left"/>
              <w:rPr>
                <w:rFonts w:asciiTheme="minorHAnsi" w:hAnsiTheme="minorHAnsi" w:cstheme="minorHAnsi"/>
                <w:szCs w:val="24"/>
              </w:rPr>
            </w:pPr>
            <w:r w:rsidRPr="00C07D00">
              <w:rPr>
                <w:rFonts w:asciiTheme="minorHAnsi" w:hAnsiTheme="minorHAnsi" w:cstheme="minorHAnsi"/>
                <w:szCs w:val="24"/>
              </w:rPr>
              <w:t xml:space="preserve">Phonics approaches have a strong evidence base that indicates a positive impact on the accuracy of word reading (though not necessarily comprehension), particularly for disadvantaged pupils: </w:t>
            </w:r>
          </w:p>
          <w:p w14:paraId="2A7D551B" w14:textId="00F04C66" w:rsidR="00E66558" w:rsidRPr="00C07D00" w:rsidRDefault="005B1580" w:rsidP="005B1580">
            <w:pPr>
              <w:pStyle w:val="TableRowCentered"/>
              <w:jc w:val="left"/>
              <w:rPr>
                <w:rFonts w:asciiTheme="minorHAnsi" w:hAnsiTheme="minorHAnsi" w:cstheme="minorHAnsi"/>
                <w:szCs w:val="24"/>
              </w:rPr>
            </w:pPr>
            <w:r w:rsidRPr="00C07D00">
              <w:rPr>
                <w:rFonts w:asciiTheme="minorHAnsi" w:hAnsiTheme="minorHAnsi" w:cstheme="minorHAnsi"/>
                <w:szCs w:val="24"/>
              </w:rPr>
              <w:t>Phonics | Toolkit Strand | Education Endowment Foundation |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6DE7B" w14:textId="77777777" w:rsidR="00E66558" w:rsidRDefault="005B1580">
            <w:pPr>
              <w:pStyle w:val="TableRowCentered"/>
              <w:jc w:val="left"/>
              <w:rPr>
                <w:rFonts w:asciiTheme="minorHAnsi" w:hAnsiTheme="minorHAnsi" w:cstheme="minorHAnsi"/>
                <w:szCs w:val="24"/>
              </w:rPr>
            </w:pPr>
            <w:r w:rsidRPr="00C07D00">
              <w:rPr>
                <w:rFonts w:asciiTheme="minorHAnsi" w:hAnsiTheme="minorHAnsi" w:cstheme="minorHAnsi"/>
                <w:szCs w:val="24"/>
              </w:rPr>
              <w:t>1</w:t>
            </w:r>
          </w:p>
          <w:p w14:paraId="2A7D551C" w14:textId="34842D09" w:rsidR="008033C4" w:rsidRPr="00C07D00" w:rsidRDefault="008033C4">
            <w:pPr>
              <w:pStyle w:val="TableRowCentered"/>
              <w:jc w:val="left"/>
              <w:rPr>
                <w:rFonts w:asciiTheme="minorHAnsi" w:hAnsiTheme="minorHAnsi" w:cstheme="minorHAnsi"/>
                <w:szCs w:val="24"/>
              </w:rPr>
            </w:pPr>
            <w:r w:rsidRPr="00A466FF">
              <w:rPr>
                <w:rFonts w:asciiTheme="minorHAnsi" w:hAnsiTheme="minorHAnsi" w:cstheme="minorHAnsi"/>
                <w:color w:val="548DD4" w:themeColor="text2" w:themeTint="99"/>
                <w:szCs w:val="24"/>
              </w:rPr>
              <w:t xml:space="preserve">Ongoing training for all staff. A consistent and robust approach to our teaching </w:t>
            </w:r>
            <w:r w:rsidR="003012DB">
              <w:rPr>
                <w:rFonts w:asciiTheme="minorHAnsi" w:hAnsiTheme="minorHAnsi" w:cstheme="minorHAnsi"/>
                <w:color w:val="548DD4" w:themeColor="text2" w:themeTint="99"/>
                <w:szCs w:val="24"/>
              </w:rPr>
              <w:t xml:space="preserve">of </w:t>
            </w:r>
            <w:r w:rsidRPr="00A466FF">
              <w:rPr>
                <w:rFonts w:asciiTheme="minorHAnsi" w:hAnsiTheme="minorHAnsi" w:cstheme="minorHAnsi"/>
                <w:color w:val="548DD4" w:themeColor="text2" w:themeTint="99"/>
                <w:szCs w:val="24"/>
              </w:rPr>
              <w:t>phonics was acknowledged by OFSTED</w:t>
            </w:r>
          </w:p>
        </w:tc>
      </w:tr>
      <w:tr w:rsidR="00E66558" w:rsidRPr="00C07D00"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2BDDECA" w:rsidR="00E66558" w:rsidRPr="00C07D00" w:rsidRDefault="00A138F1" w:rsidP="00112C55">
            <w:pPr>
              <w:pStyle w:val="TableRow"/>
              <w:rPr>
                <w:rFonts w:asciiTheme="minorHAnsi" w:hAnsiTheme="minorHAnsi" w:cstheme="minorHAnsi"/>
              </w:rPr>
            </w:pPr>
            <w:r w:rsidRPr="00C07D00">
              <w:rPr>
                <w:rFonts w:asciiTheme="minorHAnsi" w:hAnsiTheme="minorHAnsi" w:cstheme="minorHAnsi"/>
              </w:rPr>
              <w:t>To ensure Quality first Teaching and</w:t>
            </w:r>
            <w:r w:rsidR="00112C55" w:rsidRPr="00C07D00">
              <w:rPr>
                <w:rFonts w:asciiTheme="minorHAnsi" w:hAnsiTheme="minorHAnsi" w:cstheme="minorHAnsi"/>
              </w:rPr>
              <w:t xml:space="preserve"> </w:t>
            </w:r>
            <w:r w:rsidRPr="00C07D00">
              <w:rPr>
                <w:rFonts w:asciiTheme="minorHAnsi" w:hAnsiTheme="minorHAnsi" w:cstheme="minorHAnsi"/>
              </w:rPr>
              <w:t xml:space="preserve">Learning </w:t>
            </w:r>
            <w:r w:rsidR="00112C55" w:rsidRPr="00C07D00">
              <w:rPr>
                <w:rFonts w:asciiTheme="minorHAnsi" w:hAnsiTheme="minorHAnsi" w:cstheme="minorHAnsi"/>
              </w:rPr>
              <w:t xml:space="preserve">with a focus on evidence based </w:t>
            </w:r>
            <w:r w:rsidRPr="00C07D00">
              <w:rPr>
                <w:rFonts w:asciiTheme="minorHAnsi" w:hAnsiTheme="minorHAnsi" w:cstheme="minorHAnsi"/>
              </w:rPr>
              <w:t xml:space="preserve">strategies to support this. A programme of lesson observations by SL </w:t>
            </w:r>
            <w:r w:rsidR="00112C55" w:rsidRPr="00C07D00">
              <w:rPr>
                <w:rFonts w:asciiTheme="minorHAnsi" w:hAnsiTheme="minorHAnsi" w:cstheme="minorHAnsi"/>
              </w:rPr>
              <w:t xml:space="preserve">T and   subject leads  who will </w:t>
            </w:r>
            <w:r w:rsidRPr="00C07D00">
              <w:rPr>
                <w:rFonts w:asciiTheme="minorHAnsi" w:hAnsiTheme="minorHAnsi" w:cstheme="minorHAnsi"/>
              </w:rPr>
              <w:t>provide developmental feedback, identify training needs and to share best practice.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498E2AA2" w:rsidR="00E66558" w:rsidRPr="00C07D00" w:rsidRDefault="00A138F1">
            <w:pPr>
              <w:pStyle w:val="TableRowCentered"/>
              <w:jc w:val="left"/>
              <w:rPr>
                <w:rFonts w:asciiTheme="minorHAnsi" w:hAnsiTheme="minorHAnsi" w:cstheme="minorHAnsi"/>
                <w:szCs w:val="24"/>
              </w:rPr>
            </w:pPr>
            <w:r w:rsidRPr="00C07D00">
              <w:rPr>
                <w:rFonts w:asciiTheme="minorHAnsi" w:hAnsiTheme="minorHAnsi" w:cstheme="minorHAnsi"/>
                <w:szCs w:val="24"/>
              </w:rPr>
              <w:t>DFE guidance on Teacher Standards states that ‘Systems of appraisal and monitoring of teaching are necessary and can help to determine starting points for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1CE86" w14:textId="77777777" w:rsidR="00E66558" w:rsidRDefault="00A138F1">
            <w:pPr>
              <w:pStyle w:val="TableRowCentered"/>
              <w:jc w:val="left"/>
              <w:rPr>
                <w:rFonts w:asciiTheme="minorHAnsi" w:hAnsiTheme="minorHAnsi" w:cstheme="minorHAnsi"/>
                <w:szCs w:val="24"/>
              </w:rPr>
            </w:pPr>
            <w:r w:rsidRPr="00C07D00">
              <w:rPr>
                <w:rFonts w:asciiTheme="minorHAnsi" w:hAnsiTheme="minorHAnsi" w:cstheme="minorHAnsi"/>
                <w:szCs w:val="24"/>
              </w:rPr>
              <w:t>4</w:t>
            </w:r>
          </w:p>
          <w:p w14:paraId="2A7D5520" w14:textId="6A61E41B" w:rsidR="008033C4" w:rsidRPr="00C07D00" w:rsidRDefault="008033C4">
            <w:pPr>
              <w:pStyle w:val="TableRowCentered"/>
              <w:jc w:val="left"/>
              <w:rPr>
                <w:rFonts w:asciiTheme="minorHAnsi" w:hAnsiTheme="minorHAnsi" w:cstheme="minorHAnsi"/>
                <w:szCs w:val="24"/>
              </w:rPr>
            </w:pPr>
            <w:r w:rsidRPr="00A466FF">
              <w:rPr>
                <w:rFonts w:asciiTheme="minorHAnsi" w:hAnsiTheme="minorHAnsi" w:cstheme="minorHAnsi"/>
                <w:color w:val="548DD4" w:themeColor="text2" w:themeTint="99"/>
                <w:szCs w:val="24"/>
              </w:rPr>
              <w:t xml:space="preserve">A monitoring timetable has been set up </w:t>
            </w:r>
            <w:r w:rsidR="00BE1906" w:rsidRPr="00A466FF">
              <w:rPr>
                <w:rFonts w:asciiTheme="minorHAnsi" w:hAnsiTheme="minorHAnsi" w:cstheme="minorHAnsi"/>
                <w:color w:val="548DD4" w:themeColor="text2" w:themeTint="99"/>
                <w:szCs w:val="24"/>
              </w:rPr>
              <w:t>for subject leads and SLT to ensure a robust cycle of observations and support for all staff.  Support from a professional mentor ensures that ECTs have had quality support.</w:t>
            </w:r>
          </w:p>
        </w:tc>
      </w:tr>
    </w:tbl>
    <w:p w14:paraId="2A7D5522" w14:textId="77777777" w:rsidR="00E66558" w:rsidRPr="00C07D00" w:rsidRDefault="00E66558">
      <w:pPr>
        <w:keepNext/>
        <w:spacing w:after="60"/>
        <w:outlineLvl w:val="1"/>
        <w:rPr>
          <w:rFonts w:asciiTheme="minorHAnsi" w:hAnsiTheme="minorHAnsi" w:cstheme="minorHAnsi"/>
        </w:rPr>
      </w:pPr>
    </w:p>
    <w:p w14:paraId="6918C239" w14:textId="77777777" w:rsidR="00112C55" w:rsidRPr="00C07D00" w:rsidRDefault="00112C55">
      <w:pPr>
        <w:rPr>
          <w:rFonts w:asciiTheme="minorHAnsi" w:hAnsiTheme="minorHAnsi" w:cstheme="minorHAnsi"/>
          <w:b/>
          <w:bCs/>
          <w:color w:val="104F75"/>
          <w:sz w:val="28"/>
          <w:szCs w:val="28"/>
        </w:rPr>
      </w:pPr>
    </w:p>
    <w:p w14:paraId="2A7D5523" w14:textId="1DC08891" w:rsidR="00E66558" w:rsidRPr="00C07D00" w:rsidRDefault="009D71E8">
      <w:pPr>
        <w:rPr>
          <w:rFonts w:asciiTheme="minorHAnsi" w:hAnsiTheme="minorHAnsi" w:cstheme="minorHAnsi"/>
          <w:b/>
          <w:bCs/>
          <w:color w:val="104F75"/>
          <w:sz w:val="28"/>
          <w:szCs w:val="28"/>
        </w:rPr>
      </w:pPr>
      <w:r w:rsidRPr="00C07D00">
        <w:rPr>
          <w:rFonts w:asciiTheme="minorHAnsi" w:hAnsiTheme="minorHAnsi" w:cstheme="minorHAnsi"/>
          <w:b/>
          <w:bCs/>
          <w:color w:val="104F75"/>
          <w:sz w:val="28"/>
          <w:szCs w:val="28"/>
        </w:rPr>
        <w:t xml:space="preserve">Targeted academic support (for example, </w:t>
      </w:r>
      <w:r w:rsidR="00D33FE5" w:rsidRPr="00C07D00">
        <w:rPr>
          <w:rFonts w:asciiTheme="minorHAnsi" w:hAnsiTheme="minorHAnsi" w:cstheme="minorHAnsi"/>
          <w:b/>
          <w:bCs/>
          <w:color w:val="104F75"/>
          <w:sz w:val="28"/>
          <w:szCs w:val="28"/>
        </w:rPr>
        <w:t xml:space="preserve">tutoring, one-to-one support </w:t>
      </w:r>
      <w:r w:rsidRPr="00C07D00">
        <w:rPr>
          <w:rFonts w:asciiTheme="minorHAnsi" w:hAnsiTheme="minorHAnsi" w:cstheme="minorHAnsi"/>
          <w:b/>
          <w:bCs/>
          <w:color w:val="104F75"/>
          <w:sz w:val="28"/>
          <w:szCs w:val="28"/>
        </w:rPr>
        <w:t xml:space="preserve">structured interventions) </w:t>
      </w:r>
    </w:p>
    <w:p w14:paraId="2A7D5524" w14:textId="26AC376A" w:rsidR="00E66558" w:rsidRPr="00C07D00" w:rsidRDefault="00C07D00">
      <w:pPr>
        <w:rPr>
          <w:rFonts w:asciiTheme="minorHAnsi" w:hAnsiTheme="minorHAnsi" w:cstheme="minorHAnsi"/>
          <w:color w:val="auto"/>
        </w:rPr>
      </w:pPr>
      <w:r>
        <w:rPr>
          <w:rFonts w:asciiTheme="minorHAnsi" w:hAnsiTheme="minorHAnsi" w:cstheme="minorHAnsi"/>
          <w:color w:val="auto"/>
        </w:rPr>
        <w:t>Budgeted cost: £</w:t>
      </w:r>
      <w:r w:rsidR="008A66DF">
        <w:rPr>
          <w:rFonts w:asciiTheme="minorHAnsi" w:hAnsiTheme="minorHAnsi" w:cstheme="minorHAnsi"/>
          <w:color w:val="auto"/>
        </w:rPr>
        <w:t xml:space="preserve"> 65,106</w:t>
      </w:r>
    </w:p>
    <w:tbl>
      <w:tblPr>
        <w:tblW w:w="5000" w:type="pct"/>
        <w:tblCellMar>
          <w:left w:w="10" w:type="dxa"/>
          <w:right w:w="10" w:type="dxa"/>
        </w:tblCellMar>
        <w:tblLook w:val="04A0" w:firstRow="1" w:lastRow="0" w:firstColumn="1" w:lastColumn="0" w:noHBand="0" w:noVBand="1"/>
      </w:tblPr>
      <w:tblGrid>
        <w:gridCol w:w="3533"/>
        <w:gridCol w:w="4400"/>
        <w:gridCol w:w="1553"/>
      </w:tblGrid>
      <w:tr w:rsidR="00E66558" w:rsidRPr="00C07D00" w14:paraId="2A7D5528" w14:textId="77777777" w:rsidTr="00C07D00">
        <w:tc>
          <w:tcPr>
            <w:tcW w:w="35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Activity</w:t>
            </w:r>
          </w:p>
        </w:tc>
        <w:tc>
          <w:tcPr>
            <w:tcW w:w="44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Challenge number(s) addressed</w:t>
            </w:r>
          </w:p>
        </w:tc>
      </w:tr>
      <w:tr w:rsidR="00E66558" w:rsidRPr="00C07D00" w14:paraId="2A7D552C" w14:textId="77777777" w:rsidTr="00C07D00">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ADDCD1B" w:rsidR="00E66558" w:rsidRPr="00C07D00" w:rsidRDefault="00A138F1">
            <w:pPr>
              <w:pStyle w:val="TableRow"/>
              <w:rPr>
                <w:rFonts w:asciiTheme="minorHAnsi" w:hAnsiTheme="minorHAnsi" w:cstheme="minorHAnsi"/>
              </w:rPr>
            </w:pPr>
            <w:r w:rsidRPr="00C07D00">
              <w:rPr>
                <w:rFonts w:asciiTheme="minorHAnsi" w:hAnsiTheme="minorHAnsi" w:cstheme="minorHAnsi"/>
              </w:rPr>
              <w:t xml:space="preserve">Use </w:t>
            </w:r>
            <w:proofErr w:type="spellStart"/>
            <w:r w:rsidRPr="00C07D00">
              <w:rPr>
                <w:rFonts w:asciiTheme="minorHAnsi" w:hAnsiTheme="minorHAnsi" w:cstheme="minorHAnsi"/>
              </w:rPr>
              <w:t>Wellcomm</w:t>
            </w:r>
            <w:proofErr w:type="spellEnd"/>
            <w:r w:rsidRPr="00C07D00">
              <w:rPr>
                <w:rFonts w:asciiTheme="minorHAnsi" w:hAnsiTheme="minorHAnsi" w:cstheme="minorHAnsi"/>
              </w:rPr>
              <w:t xml:space="preserve"> screening tool and Big, Little Book of Activities and ideas daily in EYFS to develop good understanding and listening skil</w:t>
            </w:r>
            <w:r w:rsidR="003012DB">
              <w:rPr>
                <w:rFonts w:asciiTheme="minorHAnsi" w:hAnsiTheme="minorHAnsi" w:cstheme="minorHAnsi"/>
              </w:rPr>
              <w:t>ls, whilst improving vocabulary</w:t>
            </w:r>
            <w:bookmarkStart w:id="19" w:name="_GoBack"/>
            <w:bookmarkEnd w:id="19"/>
            <w:r w:rsidRPr="00C07D00">
              <w:rPr>
                <w:rFonts w:asciiTheme="minorHAnsi" w:hAnsiTheme="minorHAnsi" w:cstheme="minorHAnsi"/>
              </w:rPr>
              <w:t xml:space="preserve"> skills for disadvantaged pupils who have relatively low spoken language skills. To use the skills of EMTAS (Ethnic Minority and Traveller Service) to support disadvantaged children who are new to the country to support their oral language skills.</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E50C" w14:textId="77777777" w:rsidR="00A138F1" w:rsidRPr="00C07D00" w:rsidRDefault="00A138F1" w:rsidP="00112C55">
            <w:pPr>
              <w:pStyle w:val="TableRowCentered"/>
              <w:jc w:val="left"/>
              <w:rPr>
                <w:rFonts w:asciiTheme="minorHAnsi" w:hAnsiTheme="minorHAnsi" w:cstheme="minorHAnsi"/>
                <w:szCs w:val="24"/>
              </w:rPr>
            </w:pPr>
            <w:r w:rsidRPr="00C07D00">
              <w:rPr>
                <w:rFonts w:asciiTheme="minorHAnsi" w:hAnsiTheme="minorHAnsi" w:cstheme="minorHAnsi"/>
                <w:szCs w:val="24"/>
              </w:rPr>
              <w:t>Oral language interventions can have a positive impact on pupils’ language skills. Approaches that focus on speaking, listening and a combination of the two show positive impacts on attainment:</w:t>
            </w:r>
          </w:p>
          <w:p w14:paraId="2A7D552A" w14:textId="2C52F339" w:rsidR="00E66558" w:rsidRPr="00C07D00" w:rsidRDefault="00A138F1" w:rsidP="00112C55">
            <w:pPr>
              <w:pStyle w:val="TableRowCentered"/>
              <w:jc w:val="left"/>
              <w:rPr>
                <w:rFonts w:asciiTheme="minorHAnsi" w:hAnsiTheme="minorHAnsi" w:cstheme="minorHAnsi"/>
                <w:szCs w:val="24"/>
              </w:rPr>
            </w:pPr>
            <w:r w:rsidRPr="00C07D00">
              <w:rPr>
                <w:rFonts w:asciiTheme="minorHAnsi" w:hAnsiTheme="minorHAnsi" w:cstheme="minorHAnsi"/>
                <w:szCs w:val="24"/>
              </w:rPr>
              <w:t>Oral language interventions | EEF (educationendowmentfoundation.org.uk)</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287A" w14:textId="77777777" w:rsidR="00E66558" w:rsidRDefault="00A138F1" w:rsidP="00A138F1">
            <w:pPr>
              <w:pStyle w:val="TableRowCentered"/>
              <w:ind w:left="0"/>
              <w:jc w:val="left"/>
              <w:rPr>
                <w:rFonts w:asciiTheme="minorHAnsi" w:hAnsiTheme="minorHAnsi" w:cstheme="minorHAnsi"/>
                <w:szCs w:val="24"/>
              </w:rPr>
            </w:pPr>
            <w:r w:rsidRPr="00C07D00">
              <w:rPr>
                <w:rFonts w:asciiTheme="minorHAnsi" w:hAnsiTheme="minorHAnsi" w:cstheme="minorHAnsi"/>
                <w:szCs w:val="24"/>
              </w:rPr>
              <w:t>1,3</w:t>
            </w:r>
          </w:p>
          <w:p w14:paraId="2A7D552B" w14:textId="3E0C91A9" w:rsidR="00312D3F" w:rsidRPr="00C07D00" w:rsidRDefault="00312D3F" w:rsidP="00A138F1">
            <w:pPr>
              <w:pStyle w:val="TableRowCentered"/>
              <w:ind w:left="0"/>
              <w:jc w:val="left"/>
              <w:rPr>
                <w:rFonts w:asciiTheme="minorHAnsi" w:hAnsiTheme="minorHAnsi" w:cstheme="minorHAnsi"/>
                <w:szCs w:val="24"/>
              </w:rPr>
            </w:pPr>
            <w:r>
              <w:rPr>
                <w:rFonts w:asciiTheme="minorHAnsi" w:hAnsiTheme="minorHAnsi" w:cstheme="minorHAnsi"/>
                <w:szCs w:val="24"/>
              </w:rPr>
              <w:t>80% of children in Nursery were working at age related</w:t>
            </w:r>
          </w:p>
        </w:tc>
      </w:tr>
      <w:tr w:rsidR="00E66558" w:rsidRPr="00C07D00" w14:paraId="2A7D5530" w14:textId="77777777" w:rsidTr="00C07D00">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03700D4" w:rsidR="00E66558" w:rsidRPr="00C07D00" w:rsidRDefault="00A138F1" w:rsidP="00A138F1">
            <w:pPr>
              <w:pStyle w:val="TableRow"/>
              <w:rPr>
                <w:rFonts w:asciiTheme="minorHAnsi" w:hAnsiTheme="minorHAnsi" w:cstheme="minorHAnsi"/>
              </w:rPr>
            </w:pPr>
            <w:r w:rsidRPr="00C07D00">
              <w:rPr>
                <w:rFonts w:asciiTheme="minorHAnsi" w:hAnsiTheme="minorHAnsi" w:cstheme="minorHAnsi"/>
              </w:rPr>
              <w:t xml:space="preserve">Engaging with the School based </w:t>
            </w:r>
            <w:r w:rsidR="00D208D0" w:rsidRPr="00C07D00">
              <w:rPr>
                <w:rFonts w:asciiTheme="minorHAnsi" w:hAnsiTheme="minorHAnsi" w:cstheme="minorHAnsi"/>
              </w:rPr>
              <w:t>Tutoring Pro</w:t>
            </w:r>
            <w:r w:rsidRPr="00C07D00">
              <w:rPr>
                <w:rFonts w:asciiTheme="minorHAnsi" w:hAnsiTheme="minorHAnsi" w:cstheme="minorHAnsi"/>
              </w:rPr>
              <w:t xml:space="preserve">gramme to provide a blend of tuition, mentoring and school-led tutoring for pupils whose education has been most impacted by the pandemic. A significant proportion of the pupils who receive tutoring will be disadvantaged, including those who are high </w:t>
            </w:r>
            <w:proofErr w:type="spellStart"/>
            <w:r w:rsidRPr="00C07D00">
              <w:rPr>
                <w:rFonts w:asciiTheme="minorHAnsi" w:hAnsiTheme="minorHAnsi" w:cstheme="minorHAnsi"/>
              </w:rPr>
              <w:t>attainers</w:t>
            </w:r>
            <w:proofErr w:type="spellEnd"/>
            <w:r w:rsidRPr="00C07D00">
              <w:rPr>
                <w:rFonts w:asciiTheme="minorHAnsi" w:hAnsiTheme="minorHAnsi" w:cstheme="minorHAnsi"/>
              </w:rPr>
              <w:t>.</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831D" w14:textId="55C00759" w:rsidR="00A138F1" w:rsidRPr="00C07D00" w:rsidRDefault="00A138F1" w:rsidP="00D208D0">
            <w:pPr>
              <w:pStyle w:val="TableRowCentered"/>
              <w:jc w:val="left"/>
              <w:rPr>
                <w:rFonts w:asciiTheme="minorHAnsi" w:hAnsiTheme="minorHAnsi" w:cstheme="minorHAnsi"/>
                <w:szCs w:val="24"/>
              </w:rPr>
            </w:pPr>
            <w:r w:rsidRPr="00C07D00">
              <w:rPr>
                <w:rFonts w:asciiTheme="minorHAnsi" w:hAnsiTheme="minorHAnsi" w:cstheme="minorHAnsi"/>
                <w:szCs w:val="24"/>
              </w:rPr>
              <w:t>Tuition targeted at specific needs and knowledg</w:t>
            </w:r>
            <w:r w:rsidR="00D208D0" w:rsidRPr="00C07D00">
              <w:rPr>
                <w:rFonts w:asciiTheme="minorHAnsi" w:hAnsiTheme="minorHAnsi" w:cstheme="minorHAnsi"/>
                <w:szCs w:val="24"/>
              </w:rPr>
              <w:t>e gaps can be an effective meth</w:t>
            </w:r>
            <w:r w:rsidRPr="00C07D00">
              <w:rPr>
                <w:rFonts w:asciiTheme="minorHAnsi" w:hAnsiTheme="minorHAnsi" w:cstheme="minorHAnsi"/>
                <w:szCs w:val="24"/>
              </w:rPr>
              <w:t>od to support low attaining pupils or those falling behind, both one-to-one:</w:t>
            </w:r>
          </w:p>
          <w:p w14:paraId="01A6D243" w14:textId="77777777" w:rsidR="00A138F1" w:rsidRPr="00C07D00" w:rsidRDefault="00A138F1" w:rsidP="00D208D0">
            <w:pPr>
              <w:pStyle w:val="TableRowCentered"/>
              <w:jc w:val="left"/>
              <w:rPr>
                <w:rFonts w:asciiTheme="minorHAnsi" w:hAnsiTheme="minorHAnsi" w:cstheme="minorHAnsi"/>
                <w:szCs w:val="24"/>
              </w:rPr>
            </w:pPr>
            <w:r w:rsidRPr="00C07D00">
              <w:rPr>
                <w:rFonts w:asciiTheme="minorHAnsi" w:hAnsiTheme="minorHAnsi" w:cstheme="minorHAnsi"/>
                <w:szCs w:val="24"/>
              </w:rPr>
              <w:t xml:space="preserve">One to one tuition | EEF </w:t>
            </w:r>
          </w:p>
          <w:p w14:paraId="208CA795" w14:textId="77DD021E" w:rsidR="00E66558" w:rsidRPr="00C07D00" w:rsidRDefault="00A138F1" w:rsidP="00D208D0">
            <w:pPr>
              <w:pStyle w:val="TableRowCentered"/>
              <w:jc w:val="left"/>
              <w:rPr>
                <w:rFonts w:asciiTheme="minorHAnsi" w:hAnsiTheme="minorHAnsi" w:cstheme="minorHAnsi"/>
                <w:szCs w:val="24"/>
              </w:rPr>
            </w:pPr>
            <w:r w:rsidRPr="00C07D00">
              <w:rPr>
                <w:rFonts w:asciiTheme="minorHAnsi" w:hAnsiTheme="minorHAnsi" w:cstheme="minorHAnsi"/>
                <w:szCs w:val="24"/>
              </w:rPr>
              <w:t>(educationen-dowmentfoundation.org.uk)</w:t>
            </w:r>
          </w:p>
          <w:p w14:paraId="74A7386D" w14:textId="77777777" w:rsidR="00A138F1" w:rsidRPr="00C07D00" w:rsidRDefault="00A138F1" w:rsidP="00A138F1">
            <w:pPr>
              <w:pStyle w:val="TableRowCentered"/>
              <w:jc w:val="left"/>
              <w:rPr>
                <w:rFonts w:asciiTheme="minorHAnsi" w:hAnsiTheme="minorHAnsi" w:cstheme="minorHAnsi"/>
                <w:szCs w:val="24"/>
              </w:rPr>
            </w:pPr>
          </w:p>
          <w:p w14:paraId="37A80A54" w14:textId="77777777" w:rsidR="00A138F1" w:rsidRPr="00C07D00" w:rsidRDefault="00A138F1" w:rsidP="00A138F1">
            <w:pPr>
              <w:pStyle w:val="TableRowCentered"/>
              <w:jc w:val="left"/>
              <w:rPr>
                <w:rFonts w:asciiTheme="minorHAnsi" w:hAnsiTheme="minorHAnsi" w:cstheme="minorHAnsi"/>
                <w:szCs w:val="24"/>
              </w:rPr>
            </w:pPr>
            <w:r w:rsidRPr="00C07D00">
              <w:rPr>
                <w:rFonts w:asciiTheme="minorHAnsi" w:hAnsiTheme="minorHAnsi" w:cstheme="minorHAnsi"/>
                <w:szCs w:val="24"/>
              </w:rPr>
              <w:t>And in small groups:</w:t>
            </w:r>
          </w:p>
          <w:p w14:paraId="2A7D552E" w14:textId="69C97AFF" w:rsidR="00A138F1" w:rsidRPr="00C07D00" w:rsidRDefault="00A138F1" w:rsidP="00A138F1">
            <w:pPr>
              <w:pStyle w:val="TableRowCentered"/>
              <w:jc w:val="left"/>
              <w:rPr>
                <w:rFonts w:asciiTheme="minorHAnsi" w:hAnsiTheme="minorHAnsi" w:cstheme="minorHAnsi"/>
                <w:szCs w:val="24"/>
              </w:rPr>
            </w:pPr>
            <w:r w:rsidRPr="00C07D00">
              <w:rPr>
                <w:rFonts w:asciiTheme="minorHAnsi" w:hAnsiTheme="minorHAnsi" w:cstheme="minorHAnsi"/>
                <w:szCs w:val="24"/>
              </w:rPr>
              <w:t>Small group</w:t>
            </w:r>
            <w:r w:rsidR="00107D9B" w:rsidRPr="00C07D00">
              <w:rPr>
                <w:rFonts w:asciiTheme="minorHAnsi" w:hAnsiTheme="minorHAnsi" w:cstheme="minorHAnsi"/>
                <w:szCs w:val="24"/>
              </w:rPr>
              <w:t xml:space="preserve"> tuition | Toolkit Strand | Edu</w:t>
            </w:r>
            <w:r w:rsidRPr="00C07D00">
              <w:rPr>
                <w:rFonts w:asciiTheme="minorHAnsi" w:hAnsiTheme="minorHAnsi" w:cstheme="minorHAnsi"/>
                <w:szCs w:val="24"/>
              </w:rPr>
              <w:t>cation Endowment Foundation | EEF</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C2DC" w14:textId="77777777" w:rsidR="00E66558" w:rsidRDefault="00A138F1">
            <w:pPr>
              <w:pStyle w:val="TableRowCentered"/>
              <w:jc w:val="left"/>
              <w:rPr>
                <w:rFonts w:asciiTheme="minorHAnsi" w:hAnsiTheme="minorHAnsi" w:cstheme="minorHAnsi"/>
                <w:sz w:val="22"/>
              </w:rPr>
            </w:pPr>
            <w:r w:rsidRPr="00C07D00">
              <w:rPr>
                <w:rFonts w:asciiTheme="minorHAnsi" w:hAnsiTheme="minorHAnsi" w:cstheme="minorHAnsi"/>
                <w:sz w:val="22"/>
              </w:rPr>
              <w:t>4</w:t>
            </w:r>
          </w:p>
          <w:p w14:paraId="533F20C3" w14:textId="77777777" w:rsidR="00312D3F" w:rsidRPr="00A466FF" w:rsidRDefault="00312D3F">
            <w:pPr>
              <w:pStyle w:val="TableRowCentered"/>
              <w:jc w:val="left"/>
              <w:rPr>
                <w:rFonts w:asciiTheme="minorHAnsi" w:hAnsiTheme="minorHAnsi" w:cstheme="minorHAnsi"/>
                <w:color w:val="548DD4" w:themeColor="text2" w:themeTint="99"/>
                <w:sz w:val="22"/>
              </w:rPr>
            </w:pPr>
            <w:r w:rsidRPr="00A466FF">
              <w:rPr>
                <w:rFonts w:asciiTheme="minorHAnsi" w:hAnsiTheme="minorHAnsi" w:cstheme="minorHAnsi"/>
                <w:color w:val="548DD4" w:themeColor="text2" w:themeTint="99"/>
                <w:sz w:val="22"/>
              </w:rPr>
              <w:t xml:space="preserve">Children in Year 6 received 1-1 tuition </w:t>
            </w:r>
          </w:p>
          <w:p w14:paraId="64577D2C" w14:textId="77777777" w:rsidR="00312D3F" w:rsidRPr="00A466FF" w:rsidRDefault="00312D3F">
            <w:pPr>
              <w:pStyle w:val="TableRowCentered"/>
              <w:jc w:val="left"/>
              <w:rPr>
                <w:rFonts w:asciiTheme="minorHAnsi" w:hAnsiTheme="minorHAnsi" w:cstheme="minorHAnsi"/>
                <w:color w:val="548DD4" w:themeColor="text2" w:themeTint="99"/>
                <w:sz w:val="22"/>
              </w:rPr>
            </w:pPr>
            <w:r w:rsidRPr="00A466FF">
              <w:rPr>
                <w:rFonts w:asciiTheme="minorHAnsi" w:hAnsiTheme="minorHAnsi" w:cstheme="minorHAnsi"/>
                <w:color w:val="548DD4" w:themeColor="text2" w:themeTint="99"/>
                <w:sz w:val="22"/>
              </w:rPr>
              <w:t>88% of PP children achieved expected in reading.</w:t>
            </w:r>
          </w:p>
          <w:p w14:paraId="0B69F8F3" w14:textId="77777777" w:rsidR="00312D3F" w:rsidRPr="00A466FF" w:rsidRDefault="00312D3F">
            <w:pPr>
              <w:pStyle w:val="TableRowCentered"/>
              <w:jc w:val="left"/>
              <w:rPr>
                <w:rFonts w:asciiTheme="minorHAnsi" w:hAnsiTheme="minorHAnsi" w:cstheme="minorHAnsi"/>
                <w:color w:val="548DD4" w:themeColor="text2" w:themeTint="99"/>
                <w:sz w:val="22"/>
              </w:rPr>
            </w:pPr>
            <w:r w:rsidRPr="00A466FF">
              <w:rPr>
                <w:rFonts w:asciiTheme="minorHAnsi" w:hAnsiTheme="minorHAnsi" w:cstheme="minorHAnsi"/>
                <w:color w:val="548DD4" w:themeColor="text2" w:themeTint="99"/>
                <w:sz w:val="22"/>
              </w:rPr>
              <w:t>75% in reading.</w:t>
            </w:r>
          </w:p>
          <w:p w14:paraId="2A7D552F" w14:textId="1856D87F" w:rsidR="00312D3F" w:rsidRPr="00C07D00" w:rsidRDefault="00312D3F">
            <w:pPr>
              <w:pStyle w:val="TableRowCentered"/>
              <w:jc w:val="left"/>
              <w:rPr>
                <w:rFonts w:asciiTheme="minorHAnsi" w:hAnsiTheme="minorHAnsi" w:cstheme="minorHAnsi"/>
                <w:sz w:val="22"/>
              </w:rPr>
            </w:pPr>
            <w:r w:rsidRPr="00A466FF">
              <w:rPr>
                <w:rFonts w:asciiTheme="minorHAnsi" w:hAnsiTheme="minorHAnsi" w:cstheme="minorHAnsi"/>
                <w:color w:val="548DD4" w:themeColor="text2" w:themeTint="99"/>
                <w:sz w:val="22"/>
              </w:rPr>
              <w:t>More support is needed for writing</w:t>
            </w:r>
          </w:p>
        </w:tc>
      </w:tr>
    </w:tbl>
    <w:p w14:paraId="5BF92A92" w14:textId="7B802E55" w:rsidR="00C07D00" w:rsidRDefault="00312D3F">
      <w:pPr>
        <w:rPr>
          <w:rFonts w:asciiTheme="minorHAnsi" w:hAnsiTheme="minorHAnsi" w:cstheme="minorHAnsi"/>
          <w:b/>
          <w:color w:val="104F75"/>
          <w:sz w:val="28"/>
          <w:szCs w:val="28"/>
        </w:rPr>
      </w:pPr>
      <w:r>
        <w:rPr>
          <w:rFonts w:asciiTheme="minorHAnsi" w:hAnsiTheme="minorHAnsi" w:cstheme="minorHAnsi"/>
          <w:b/>
          <w:color w:val="104F75"/>
          <w:sz w:val="28"/>
          <w:szCs w:val="28"/>
        </w:rPr>
        <w:t>Ren with</w:t>
      </w:r>
    </w:p>
    <w:p w14:paraId="1AEF04E0" w14:textId="77777777" w:rsidR="00C07D00" w:rsidRDefault="00C07D00">
      <w:pPr>
        <w:rPr>
          <w:rFonts w:asciiTheme="minorHAnsi" w:hAnsiTheme="minorHAnsi" w:cstheme="minorHAnsi"/>
          <w:b/>
          <w:color w:val="104F75"/>
          <w:sz w:val="28"/>
          <w:szCs w:val="28"/>
        </w:rPr>
      </w:pPr>
      <w:r>
        <w:rPr>
          <w:rFonts w:asciiTheme="minorHAnsi" w:hAnsiTheme="minorHAnsi" w:cstheme="minorHAnsi"/>
          <w:b/>
          <w:color w:val="104F75"/>
          <w:sz w:val="28"/>
          <w:szCs w:val="28"/>
        </w:rPr>
        <w:br/>
      </w:r>
    </w:p>
    <w:p w14:paraId="725601FC" w14:textId="77777777" w:rsidR="00C07D00" w:rsidRDefault="00C07D00">
      <w:pPr>
        <w:suppressAutoHyphens w:val="0"/>
        <w:spacing w:after="0" w:line="240" w:lineRule="auto"/>
        <w:rPr>
          <w:rFonts w:asciiTheme="minorHAnsi" w:hAnsiTheme="minorHAnsi" w:cstheme="minorHAnsi"/>
          <w:b/>
          <w:color w:val="104F75"/>
          <w:sz w:val="28"/>
          <w:szCs w:val="28"/>
        </w:rPr>
      </w:pPr>
      <w:r>
        <w:rPr>
          <w:rFonts w:asciiTheme="minorHAnsi" w:hAnsiTheme="minorHAnsi" w:cstheme="minorHAnsi"/>
          <w:b/>
          <w:color w:val="104F75"/>
          <w:sz w:val="28"/>
          <w:szCs w:val="28"/>
        </w:rPr>
        <w:br w:type="page"/>
      </w:r>
    </w:p>
    <w:p w14:paraId="2A7D5532" w14:textId="5E9AC3CA" w:rsidR="00E66558" w:rsidRPr="00C07D00" w:rsidRDefault="009D71E8">
      <w:pPr>
        <w:rPr>
          <w:rFonts w:asciiTheme="minorHAnsi" w:hAnsiTheme="minorHAnsi" w:cstheme="minorHAnsi"/>
          <w:b/>
          <w:color w:val="104F75"/>
          <w:sz w:val="28"/>
          <w:szCs w:val="28"/>
        </w:rPr>
      </w:pPr>
      <w:r w:rsidRPr="00C07D00">
        <w:rPr>
          <w:rFonts w:asciiTheme="minorHAnsi" w:hAnsiTheme="minorHAnsi" w:cstheme="minorHAnsi"/>
          <w:b/>
          <w:color w:val="104F75"/>
          <w:sz w:val="28"/>
          <w:szCs w:val="28"/>
        </w:rPr>
        <w:t>Wider strategies (for example, related to attendance, behaviour, wellbeing)</w:t>
      </w:r>
    </w:p>
    <w:p w14:paraId="2A7D5533" w14:textId="2C355075" w:rsidR="00E66558" w:rsidRPr="008A66DF" w:rsidRDefault="008A66DF">
      <w:pPr>
        <w:spacing w:before="240" w:after="120"/>
        <w:rPr>
          <w:rFonts w:asciiTheme="minorHAnsi" w:hAnsiTheme="minorHAnsi" w:cstheme="minorHAnsi"/>
          <w:color w:val="auto"/>
        </w:rPr>
      </w:pPr>
      <w:r w:rsidRPr="008A66DF">
        <w:rPr>
          <w:rFonts w:asciiTheme="minorHAnsi" w:hAnsiTheme="minorHAnsi" w:cstheme="minorHAnsi"/>
          <w:color w:val="auto"/>
        </w:rPr>
        <w:t>Budgeted cost: £20,241</w:t>
      </w:r>
    </w:p>
    <w:tbl>
      <w:tblPr>
        <w:tblW w:w="5000" w:type="pct"/>
        <w:tblCellMar>
          <w:left w:w="10" w:type="dxa"/>
          <w:right w:w="10" w:type="dxa"/>
        </w:tblCellMar>
        <w:tblLook w:val="04A0" w:firstRow="1" w:lastRow="0" w:firstColumn="1" w:lastColumn="0" w:noHBand="0" w:noVBand="1"/>
      </w:tblPr>
      <w:tblGrid>
        <w:gridCol w:w="3823"/>
        <w:gridCol w:w="4110"/>
        <w:gridCol w:w="1553"/>
      </w:tblGrid>
      <w:tr w:rsidR="00E66558" w:rsidRPr="00C07D00" w14:paraId="2A7D5537" w14:textId="77777777" w:rsidTr="00C07D00">
        <w:tc>
          <w:tcPr>
            <w:tcW w:w="382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Activity</w:t>
            </w:r>
          </w:p>
        </w:tc>
        <w:tc>
          <w:tcPr>
            <w:tcW w:w="41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Challenge number(s) addressed</w:t>
            </w:r>
          </w:p>
        </w:tc>
      </w:tr>
      <w:tr w:rsidR="00E66558" w:rsidRPr="00C07D00" w14:paraId="2A7D553B" w14:textId="77777777" w:rsidTr="00C07D00">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B193F" w14:textId="77777777" w:rsidR="00A138F1" w:rsidRPr="00C07D00" w:rsidRDefault="00A138F1" w:rsidP="00A138F1">
            <w:pPr>
              <w:pStyle w:val="TableRow"/>
              <w:rPr>
                <w:rFonts w:asciiTheme="minorHAnsi" w:hAnsiTheme="minorHAnsi" w:cstheme="minorHAnsi"/>
                <w:iCs/>
              </w:rPr>
            </w:pPr>
            <w:r w:rsidRPr="00C07D00">
              <w:rPr>
                <w:rFonts w:asciiTheme="minorHAnsi" w:hAnsiTheme="minorHAnsi" w:cstheme="minorHAnsi"/>
                <w:iCs/>
              </w:rPr>
              <w:t xml:space="preserve">Embedding principles of good practice set out in the </w:t>
            </w:r>
            <w:proofErr w:type="spellStart"/>
            <w:r w:rsidRPr="00C07D00">
              <w:rPr>
                <w:rFonts w:asciiTheme="minorHAnsi" w:hAnsiTheme="minorHAnsi" w:cstheme="minorHAnsi"/>
                <w:iCs/>
              </w:rPr>
              <w:t>DfE’s</w:t>
            </w:r>
            <w:proofErr w:type="spellEnd"/>
            <w:r w:rsidRPr="00C07D00">
              <w:rPr>
                <w:rFonts w:asciiTheme="minorHAnsi" w:hAnsiTheme="minorHAnsi" w:cstheme="minorHAnsi"/>
                <w:iCs/>
              </w:rPr>
              <w:t xml:space="preserve"> Improving School Attendance advice.</w:t>
            </w:r>
          </w:p>
          <w:p w14:paraId="2A7D5538" w14:textId="6FB02DDD" w:rsidR="00E66558" w:rsidRPr="00C07D00" w:rsidRDefault="00A138F1" w:rsidP="00A138F1">
            <w:pPr>
              <w:pStyle w:val="TableRow"/>
              <w:rPr>
                <w:rFonts w:asciiTheme="minorHAnsi" w:hAnsiTheme="minorHAnsi" w:cstheme="minorHAnsi"/>
              </w:rPr>
            </w:pPr>
            <w:r w:rsidRPr="00C07D00">
              <w:rPr>
                <w:rFonts w:asciiTheme="minorHAnsi" w:hAnsiTheme="minorHAnsi" w:cstheme="minorHAnsi"/>
                <w:iCs/>
              </w:rPr>
              <w:t xml:space="preserve">This will involve training and release time for the Children`s and Families </w:t>
            </w:r>
            <w:r w:rsidR="00465904" w:rsidRPr="00C07D00">
              <w:rPr>
                <w:rFonts w:asciiTheme="minorHAnsi" w:hAnsiTheme="minorHAnsi" w:cstheme="minorHAnsi"/>
                <w:iCs/>
              </w:rPr>
              <w:t xml:space="preserve">officer </w:t>
            </w:r>
            <w:r w:rsidRPr="00C07D00">
              <w:rPr>
                <w:rFonts w:asciiTheme="minorHAnsi" w:hAnsiTheme="minorHAnsi" w:cstheme="minorHAnsi"/>
                <w:iCs/>
              </w:rPr>
              <w:t>to develop and implement new procedures. To enable them to engage and liaise with LEA teams to have a cohesive approach across the city.</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C29244B" w:rsidR="00E66558" w:rsidRPr="00C07D00" w:rsidRDefault="00A138F1">
            <w:pPr>
              <w:pStyle w:val="TableRowCentered"/>
              <w:jc w:val="left"/>
              <w:rPr>
                <w:rFonts w:asciiTheme="minorHAnsi" w:hAnsiTheme="minorHAnsi" w:cstheme="minorHAnsi"/>
                <w:szCs w:val="24"/>
              </w:rPr>
            </w:pPr>
            <w:r w:rsidRPr="00C07D00">
              <w:rPr>
                <w:rFonts w:asciiTheme="minorHAnsi" w:hAnsiTheme="minorHAnsi" w:cstheme="minorHAnsi"/>
                <w:szCs w:val="24"/>
              </w:rPr>
              <w:t xml:space="preserve">The </w:t>
            </w:r>
            <w:proofErr w:type="spellStart"/>
            <w:r w:rsidRPr="00C07D00">
              <w:rPr>
                <w:rFonts w:asciiTheme="minorHAnsi" w:hAnsiTheme="minorHAnsi" w:cstheme="minorHAnsi"/>
                <w:szCs w:val="24"/>
              </w:rPr>
              <w:t>DfE</w:t>
            </w:r>
            <w:proofErr w:type="spellEnd"/>
            <w:r w:rsidRPr="00C07D00">
              <w:rPr>
                <w:rFonts w:asciiTheme="minorHAnsi" w:hAnsiTheme="minorHAnsi" w:cstheme="minorHAnsi"/>
                <w:szCs w:val="24"/>
              </w:rPr>
              <w:t xml:space="preserve"> guidance has been informed by engagement with schools that have significantly reduced levels of absence and persistent absence.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2708E91" w:rsidR="00E66558" w:rsidRPr="00C07D00" w:rsidRDefault="00A138F1">
            <w:pPr>
              <w:pStyle w:val="TableRowCentered"/>
              <w:jc w:val="left"/>
              <w:rPr>
                <w:rFonts w:asciiTheme="minorHAnsi" w:hAnsiTheme="minorHAnsi" w:cstheme="minorHAnsi"/>
                <w:sz w:val="22"/>
              </w:rPr>
            </w:pPr>
            <w:r w:rsidRPr="00C07D00">
              <w:rPr>
                <w:rFonts w:asciiTheme="minorHAnsi" w:hAnsiTheme="minorHAnsi" w:cstheme="minorHAnsi"/>
                <w:sz w:val="22"/>
              </w:rPr>
              <w:t>2</w:t>
            </w:r>
          </w:p>
        </w:tc>
      </w:tr>
    </w:tbl>
    <w:p w14:paraId="2A7D5540" w14:textId="77777777" w:rsidR="00E66558" w:rsidRPr="00C07D00" w:rsidRDefault="00E66558">
      <w:pPr>
        <w:spacing w:before="240" w:after="0"/>
        <w:rPr>
          <w:rFonts w:asciiTheme="minorHAnsi" w:hAnsiTheme="minorHAnsi" w:cstheme="minorHAnsi"/>
          <w:b/>
          <w:bCs/>
          <w:color w:val="104F75"/>
          <w:sz w:val="28"/>
          <w:szCs w:val="28"/>
        </w:rPr>
      </w:pPr>
    </w:p>
    <w:p w14:paraId="2A7D5541" w14:textId="3E4DCF82" w:rsidR="00E66558" w:rsidRPr="00C07D00" w:rsidRDefault="008A66DF" w:rsidP="00120AB1">
      <w:pPr>
        <w:rPr>
          <w:rFonts w:asciiTheme="minorHAnsi" w:hAnsiTheme="minorHAnsi" w:cstheme="minorHAnsi"/>
        </w:rPr>
      </w:pPr>
      <w:r>
        <w:rPr>
          <w:rFonts w:asciiTheme="minorHAnsi" w:hAnsiTheme="minorHAnsi" w:cstheme="minorHAnsi"/>
          <w:b/>
          <w:bCs/>
          <w:color w:val="104F75"/>
          <w:sz w:val="28"/>
          <w:szCs w:val="28"/>
        </w:rPr>
        <w:t>Total budgeted cost: £ 97,774</w:t>
      </w:r>
    </w:p>
    <w:p w14:paraId="2A7D5542" w14:textId="77777777" w:rsidR="00E66558" w:rsidRPr="00C07D00" w:rsidRDefault="009D71E8">
      <w:pPr>
        <w:pStyle w:val="Heading1"/>
        <w:rPr>
          <w:rFonts w:asciiTheme="minorHAnsi" w:hAnsiTheme="minorHAnsi" w:cstheme="minorHAnsi"/>
        </w:rPr>
      </w:pPr>
      <w:r w:rsidRPr="00C07D00">
        <w:rPr>
          <w:rFonts w:asciiTheme="minorHAnsi" w:hAnsiTheme="minorHAnsi" w:cstheme="minorHAnsi"/>
        </w:rPr>
        <w:t>Part B: Review of outcomes in the previous academic year</w:t>
      </w:r>
    </w:p>
    <w:p w14:paraId="2A7D5543" w14:textId="77777777" w:rsidR="00E66558" w:rsidRPr="00C07D00" w:rsidRDefault="009D71E8">
      <w:pPr>
        <w:pStyle w:val="Heading2"/>
        <w:rPr>
          <w:rFonts w:asciiTheme="minorHAnsi" w:hAnsiTheme="minorHAnsi" w:cstheme="minorHAnsi"/>
        </w:rPr>
      </w:pPr>
      <w:r w:rsidRPr="00C07D00">
        <w:rPr>
          <w:rFonts w:asciiTheme="minorHAnsi" w:hAnsiTheme="minorHAnsi" w:cstheme="minorHAnsi"/>
        </w:rPr>
        <w:t>Pupil premium strategy outcomes</w:t>
      </w:r>
    </w:p>
    <w:p w14:paraId="2A7D5544" w14:textId="77777777" w:rsidR="00E66558" w:rsidRPr="00C07D00" w:rsidRDefault="009D71E8">
      <w:pPr>
        <w:rPr>
          <w:rFonts w:asciiTheme="minorHAnsi" w:hAnsiTheme="minorHAnsi" w:cstheme="minorHAnsi"/>
        </w:rPr>
      </w:pPr>
      <w:r w:rsidRPr="00C07D00">
        <w:rPr>
          <w:rFonts w:asciiTheme="minorHAnsi" w:hAnsiTheme="minorHAnsi" w:cstheme="minorHAnsi"/>
        </w:rP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rsidRPr="00C07D00"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1FD0CF16" w:rsidR="00E66558" w:rsidRPr="00C07D00" w:rsidRDefault="00670354" w:rsidP="002071CA">
            <w:pPr>
              <w:jc w:val="both"/>
              <w:rPr>
                <w:rFonts w:asciiTheme="minorHAnsi" w:hAnsiTheme="minorHAnsi" w:cstheme="minorHAnsi"/>
              </w:rPr>
            </w:pPr>
            <w:r w:rsidRPr="00C07D00">
              <w:rPr>
                <w:rFonts w:asciiTheme="minorHAnsi" w:hAnsiTheme="minorHAnsi" w:cstheme="minorHAnsi"/>
                <w:color w:val="auto"/>
                <w:lang w:eastAsia="en-US"/>
              </w:rPr>
              <w:t>Our internal assessments during 2020/21 suggeste</w:t>
            </w:r>
            <w:r w:rsidR="00107D9B" w:rsidRPr="00C07D00">
              <w:rPr>
                <w:rFonts w:asciiTheme="minorHAnsi" w:hAnsiTheme="minorHAnsi" w:cstheme="minorHAnsi"/>
                <w:color w:val="auto"/>
                <w:lang w:eastAsia="en-US"/>
              </w:rPr>
              <w:t>d that the performance of disad</w:t>
            </w:r>
            <w:r w:rsidRPr="00C07D00">
              <w:rPr>
                <w:rFonts w:asciiTheme="minorHAnsi" w:hAnsiTheme="minorHAnsi" w:cstheme="minorHAnsi"/>
                <w:color w:val="auto"/>
                <w:lang w:eastAsia="en-US"/>
              </w:rPr>
              <w:t xml:space="preserve">vantaged pupils was lower than in the previous years in key areas of the curriculum Particularly in Early Reading and phonics. The outcomes that we aimed to achieve by the end of 2020-2021 were not as we would have expected. Our assessment of the reasons for these outcomes </w:t>
            </w:r>
            <w:r w:rsidR="00107D9B" w:rsidRPr="00C07D00">
              <w:rPr>
                <w:rFonts w:asciiTheme="minorHAnsi" w:hAnsiTheme="minorHAnsi" w:cstheme="minorHAnsi"/>
                <w:color w:val="auto"/>
                <w:lang w:eastAsia="en-US"/>
              </w:rPr>
              <w:t>points primarily to Covid-19 im</w:t>
            </w:r>
            <w:r w:rsidRPr="00C07D00">
              <w:rPr>
                <w:rFonts w:asciiTheme="minorHAnsi" w:hAnsiTheme="minorHAnsi" w:cstheme="minorHAnsi"/>
                <w:color w:val="auto"/>
                <w:lang w:eastAsia="en-US"/>
              </w:rPr>
              <w:t>pact, this disrupted all our children and had an impact on all subject areas to varying degrees but more significantly in Key Stage 1 where children were subjected to numerous isolations. As evidenced in schools across the country, school closure was most detrimental to our disadvantaged pupils, and they were not able to benefit from o</w:t>
            </w:r>
            <w:r w:rsidR="00107D9B" w:rsidRPr="00C07D00">
              <w:rPr>
                <w:rFonts w:asciiTheme="minorHAnsi" w:hAnsiTheme="minorHAnsi" w:cstheme="minorHAnsi"/>
                <w:color w:val="auto"/>
                <w:lang w:eastAsia="en-US"/>
              </w:rPr>
              <w:t>ur pupil premium funded improve</w:t>
            </w:r>
            <w:r w:rsidRPr="00C07D00">
              <w:rPr>
                <w:rFonts w:asciiTheme="minorHAnsi" w:hAnsiTheme="minorHAnsi" w:cstheme="minorHAnsi"/>
                <w:color w:val="auto"/>
                <w:lang w:eastAsia="en-US"/>
              </w:rPr>
              <w:t>ments to teaching and targeted interventions to the</w:t>
            </w:r>
            <w:r w:rsidR="00107D9B" w:rsidRPr="00C07D00">
              <w:rPr>
                <w:rFonts w:asciiTheme="minorHAnsi" w:hAnsiTheme="minorHAnsi" w:cstheme="minorHAnsi"/>
                <w:color w:val="auto"/>
                <w:lang w:eastAsia="en-US"/>
              </w:rPr>
              <w:t xml:space="preserve"> degree we had intended. The im</w:t>
            </w:r>
            <w:r w:rsidRPr="00C07D00">
              <w:rPr>
                <w:rFonts w:asciiTheme="minorHAnsi" w:hAnsiTheme="minorHAnsi" w:cstheme="minorHAnsi"/>
                <w:color w:val="auto"/>
                <w:lang w:eastAsia="en-US"/>
              </w:rPr>
              <w:t xml:space="preserve">pact was mitigated by our resolution to maintain a high quality curriculum, including during periods of partial closure, when we dedicated a full time teacher to managing and supporting our staff with online learning and ensuring our website was up to </w:t>
            </w:r>
            <w:r w:rsidR="002071CA" w:rsidRPr="00C07D00">
              <w:rPr>
                <w:rFonts w:asciiTheme="minorHAnsi" w:hAnsiTheme="minorHAnsi" w:cstheme="minorHAnsi"/>
                <w:color w:val="auto"/>
                <w:lang w:eastAsia="en-US"/>
              </w:rPr>
              <w:t>date. This</w:t>
            </w:r>
            <w:r w:rsidRPr="00C07D00">
              <w:rPr>
                <w:rFonts w:asciiTheme="minorHAnsi" w:hAnsiTheme="minorHAnsi" w:cstheme="minorHAnsi"/>
                <w:color w:val="auto"/>
                <w:lang w:eastAsia="en-US"/>
              </w:rPr>
              <w:t xml:space="preserve"> wa</w:t>
            </w:r>
            <w:r w:rsidR="002071CA" w:rsidRPr="00C07D00">
              <w:rPr>
                <w:rFonts w:asciiTheme="minorHAnsi" w:hAnsiTheme="minorHAnsi" w:cstheme="minorHAnsi"/>
                <w:color w:val="auto"/>
                <w:lang w:eastAsia="en-US"/>
              </w:rPr>
              <w:t>s</w:t>
            </w:r>
            <w:r w:rsidRPr="00C07D00">
              <w:rPr>
                <w:rFonts w:asciiTheme="minorHAnsi" w:hAnsiTheme="minorHAnsi" w:cstheme="minorHAnsi"/>
                <w:color w:val="auto"/>
                <w:lang w:eastAsia="en-US"/>
              </w:rPr>
              <w:t xml:space="preserve"> aided by use of online resources such as those provided by Oak National Academy</w:t>
            </w:r>
            <w:r w:rsidR="002071CA" w:rsidRPr="00C07D00">
              <w:rPr>
                <w:rFonts w:asciiTheme="minorHAnsi" w:hAnsiTheme="minorHAnsi" w:cstheme="minorHAnsi"/>
                <w:color w:val="auto"/>
                <w:lang w:eastAsia="en-US"/>
              </w:rPr>
              <w:t xml:space="preserve">, Read Write </w:t>
            </w:r>
            <w:proofErr w:type="spellStart"/>
            <w:r w:rsidR="002071CA" w:rsidRPr="00C07D00">
              <w:rPr>
                <w:rFonts w:asciiTheme="minorHAnsi" w:hAnsiTheme="minorHAnsi" w:cstheme="minorHAnsi"/>
                <w:color w:val="auto"/>
                <w:lang w:eastAsia="en-US"/>
              </w:rPr>
              <w:t>Inc</w:t>
            </w:r>
            <w:proofErr w:type="spellEnd"/>
            <w:r w:rsidR="002071CA" w:rsidRPr="00C07D00">
              <w:rPr>
                <w:rFonts w:asciiTheme="minorHAnsi" w:hAnsiTheme="minorHAnsi" w:cstheme="minorHAnsi"/>
                <w:color w:val="auto"/>
                <w:lang w:eastAsia="en-US"/>
              </w:rPr>
              <w:t xml:space="preserve"> Phonics and White Rose Maths</w:t>
            </w:r>
            <w:r w:rsidRPr="00C07D00">
              <w:rPr>
                <w:rFonts w:asciiTheme="minorHAnsi" w:hAnsiTheme="minorHAnsi" w:cstheme="minorHAnsi"/>
                <w:color w:val="auto"/>
                <w:lang w:eastAsia="en-US"/>
              </w:rPr>
              <w:t>.</w:t>
            </w:r>
            <w:r w:rsidR="002071CA" w:rsidRPr="00C07D00">
              <w:rPr>
                <w:rFonts w:asciiTheme="minorHAnsi" w:hAnsiTheme="minorHAnsi" w:cstheme="minorHAnsi"/>
                <w:color w:val="auto"/>
                <w:lang w:eastAsia="en-US"/>
              </w:rPr>
              <w:t xml:space="preserve"> Our dedicated Children`s and Families Officer ensured that our Families were well supported and had all the </w:t>
            </w:r>
            <w:r w:rsidR="0013421A" w:rsidRPr="00C07D00">
              <w:rPr>
                <w:rFonts w:asciiTheme="minorHAnsi" w:hAnsiTheme="minorHAnsi" w:cstheme="minorHAnsi"/>
                <w:color w:val="auto"/>
                <w:lang w:eastAsia="en-US"/>
              </w:rPr>
              <w:t>resources</w:t>
            </w:r>
            <w:r w:rsidR="002071CA" w:rsidRPr="00C07D00">
              <w:rPr>
                <w:rFonts w:asciiTheme="minorHAnsi" w:hAnsiTheme="minorHAnsi" w:cstheme="minorHAnsi"/>
                <w:color w:val="auto"/>
                <w:lang w:eastAsia="en-US"/>
              </w:rPr>
              <w:t xml:space="preserve"> they needed including lap tops</w:t>
            </w:r>
          </w:p>
        </w:tc>
      </w:tr>
    </w:tbl>
    <w:p w14:paraId="2A7D5549" w14:textId="14C9A92D" w:rsidR="00E66558" w:rsidRPr="00C07D00" w:rsidRDefault="009D71E8" w:rsidP="00C07D00">
      <w:pPr>
        <w:pStyle w:val="Heading2"/>
        <w:spacing w:before="600"/>
        <w:rPr>
          <w:rFonts w:asciiTheme="minorHAnsi" w:hAnsiTheme="minorHAnsi" w:cstheme="minorHAnsi"/>
        </w:rPr>
      </w:pPr>
      <w:r w:rsidRPr="00C07D00">
        <w:rPr>
          <w:rFonts w:asciiTheme="minorHAnsi" w:hAnsiTheme="minorHAnsi" w:cstheme="minorHAnsi"/>
        </w:rP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465904" w:rsidRPr="00C07D00"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C07D00" w:rsidRDefault="009D71E8">
            <w:pPr>
              <w:pStyle w:val="TableHeader"/>
              <w:jc w:val="left"/>
              <w:rPr>
                <w:rFonts w:asciiTheme="minorHAnsi" w:hAnsiTheme="minorHAnsi" w:cstheme="minorHAnsi"/>
                <w:color w:val="auto"/>
              </w:rPr>
            </w:pPr>
            <w:r w:rsidRPr="00C07D00">
              <w:rPr>
                <w:rFonts w:asciiTheme="minorHAnsi" w:hAnsiTheme="minorHAnsi" w:cstheme="minorHAnsi"/>
                <w:color w:val="auto"/>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C07D00" w:rsidRDefault="009D71E8">
            <w:pPr>
              <w:pStyle w:val="TableHeader"/>
              <w:jc w:val="left"/>
              <w:rPr>
                <w:rFonts w:asciiTheme="minorHAnsi" w:hAnsiTheme="minorHAnsi" w:cstheme="minorHAnsi"/>
                <w:color w:val="auto"/>
              </w:rPr>
            </w:pPr>
            <w:r w:rsidRPr="00C07D00">
              <w:rPr>
                <w:rFonts w:asciiTheme="minorHAnsi" w:hAnsiTheme="minorHAnsi" w:cstheme="minorHAnsi"/>
                <w:color w:val="auto"/>
              </w:rPr>
              <w:t>Provider</w:t>
            </w:r>
          </w:p>
        </w:tc>
      </w:tr>
      <w:tr w:rsidR="00465904" w:rsidRPr="00C07D00"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F26E539" w:rsidR="00E66558" w:rsidRPr="00C07D00" w:rsidRDefault="00684068">
            <w:pPr>
              <w:pStyle w:val="TableRow"/>
              <w:rPr>
                <w:rFonts w:asciiTheme="minorHAnsi" w:hAnsiTheme="minorHAnsi" w:cstheme="minorHAnsi"/>
                <w:color w:val="auto"/>
              </w:rPr>
            </w:pPr>
            <w:r w:rsidRPr="00C07D00">
              <w:rPr>
                <w:rFonts w:asciiTheme="minorHAnsi" w:hAnsiTheme="minorHAnsi" w:cstheme="minorHAnsi"/>
                <w:color w:val="auto"/>
              </w:rPr>
              <w:t>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C3A1C4" w:rsidR="00E66558" w:rsidRPr="00C07D00" w:rsidRDefault="00684068">
            <w:pPr>
              <w:pStyle w:val="TableRowCentered"/>
              <w:jc w:val="left"/>
              <w:rPr>
                <w:rFonts w:asciiTheme="minorHAnsi" w:hAnsiTheme="minorHAnsi" w:cstheme="minorHAnsi"/>
                <w:color w:val="auto"/>
              </w:rPr>
            </w:pPr>
            <w:r w:rsidRPr="00C07D00">
              <w:rPr>
                <w:rFonts w:asciiTheme="minorHAnsi" w:hAnsiTheme="minorHAnsi" w:cstheme="minorHAnsi"/>
                <w:color w:val="auto"/>
              </w:rPr>
              <w:t xml:space="preserve">Read, Write </w:t>
            </w:r>
            <w:proofErr w:type="spellStart"/>
            <w:r w:rsidRPr="00C07D00">
              <w:rPr>
                <w:rFonts w:asciiTheme="minorHAnsi" w:hAnsiTheme="minorHAnsi" w:cstheme="minorHAnsi"/>
                <w:color w:val="auto"/>
              </w:rPr>
              <w:t>Inc</w:t>
            </w:r>
            <w:proofErr w:type="spellEnd"/>
          </w:p>
        </w:tc>
      </w:tr>
      <w:tr w:rsidR="00465904" w:rsidRPr="00C07D00"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C07D00" w:rsidRDefault="00E66558">
            <w:pPr>
              <w:pStyle w:val="TableRow"/>
              <w:rPr>
                <w:rFonts w:asciiTheme="minorHAnsi" w:hAnsiTheme="minorHAnsi" w:cstheme="minorHAnsi"/>
                <w:color w:val="FF000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C07D00" w:rsidRDefault="00E66558">
            <w:pPr>
              <w:pStyle w:val="TableRowCentered"/>
              <w:jc w:val="left"/>
              <w:rPr>
                <w:rFonts w:asciiTheme="minorHAnsi" w:hAnsiTheme="minorHAnsi" w:cstheme="minorHAnsi"/>
                <w:color w:val="FF0000"/>
              </w:rPr>
            </w:pPr>
          </w:p>
        </w:tc>
      </w:tr>
      <w:bookmarkEnd w:id="14"/>
      <w:bookmarkEnd w:id="15"/>
      <w:bookmarkEnd w:id="18"/>
    </w:tbl>
    <w:p w14:paraId="2A7D5564" w14:textId="5CD53CAC" w:rsidR="00F775B0" w:rsidRDefault="00F775B0">
      <w:pPr>
        <w:rPr>
          <w:rFonts w:asciiTheme="minorHAnsi" w:hAnsiTheme="minorHAnsi" w:cstheme="minorHAnsi"/>
        </w:rPr>
      </w:pPr>
    </w:p>
    <w:p w14:paraId="7B857FCD" w14:textId="77777777" w:rsidR="00F775B0" w:rsidRDefault="00F775B0">
      <w:pPr>
        <w:suppressAutoHyphens w:val="0"/>
        <w:spacing w:after="0" w:line="240" w:lineRule="auto"/>
        <w:rPr>
          <w:rFonts w:asciiTheme="minorHAnsi" w:hAnsiTheme="minorHAnsi" w:cstheme="minorHAnsi"/>
        </w:rPr>
      </w:pPr>
      <w:r>
        <w:rPr>
          <w:rFonts w:asciiTheme="minorHAnsi" w:hAnsiTheme="minorHAnsi" w:cstheme="minorHAnsi"/>
        </w:rPr>
        <w:br w:type="page"/>
      </w:r>
    </w:p>
    <w:p w14:paraId="1C78CF1E" w14:textId="77777777" w:rsidR="00F775B0" w:rsidRDefault="00F775B0" w:rsidP="00F775B0">
      <w:pPr>
        <w:pStyle w:val="Heading1"/>
        <w:rPr>
          <w:rFonts w:asciiTheme="minorHAnsi" w:hAnsiTheme="minorHAnsi" w:cstheme="minorHAnsi"/>
        </w:rPr>
      </w:pPr>
      <w:r>
        <w:rPr>
          <w:rFonts w:asciiTheme="minorHAnsi" w:hAnsiTheme="minorHAnsi" w:cstheme="minorHAnsi"/>
        </w:rPr>
        <w:t>Part B: Review of outcomes in the previous academic year</w:t>
      </w:r>
    </w:p>
    <w:p w14:paraId="61AE769B" w14:textId="77777777" w:rsidR="00F775B0" w:rsidRDefault="00F775B0" w:rsidP="00F775B0">
      <w:pPr>
        <w:pStyle w:val="Heading2"/>
        <w:rPr>
          <w:rFonts w:ascii="Century Gothic" w:hAnsi="Century Gothic"/>
          <w:sz w:val="28"/>
          <w:szCs w:val="28"/>
        </w:rPr>
      </w:pPr>
      <w:r>
        <w:rPr>
          <w:rFonts w:ascii="Century Gothic" w:hAnsi="Century Gothic"/>
          <w:sz w:val="28"/>
          <w:szCs w:val="28"/>
        </w:rPr>
        <w:t>Pupil premium strategy outcomes</w:t>
      </w:r>
    </w:p>
    <w:p w14:paraId="7D0907CC" w14:textId="77777777" w:rsidR="00F775B0" w:rsidRDefault="00F775B0" w:rsidP="00F775B0">
      <w:pPr>
        <w:pStyle w:val="2Subheadpink"/>
        <w:rPr>
          <w:rFonts w:ascii="Century Gothic" w:hAnsi="Century Gothic" w:cs="Times New Roman"/>
          <w:color w:val="auto"/>
          <w:sz w:val="24"/>
          <w:szCs w:val="20"/>
          <w:u w:val="single"/>
        </w:rPr>
      </w:pPr>
      <w:r>
        <w:rPr>
          <w:rFonts w:ascii="Century Gothic" w:hAnsi="Century Gothic" w:cs="Times New Roman"/>
          <w:color w:val="auto"/>
          <w:sz w:val="24"/>
          <w:szCs w:val="20"/>
          <w:u w:val="single"/>
        </w:rPr>
        <w:t>Impact Statement 2021-22</w:t>
      </w:r>
    </w:p>
    <w:tbl>
      <w:tblPr>
        <w:tblStyle w:val="TableGrid"/>
        <w:tblpPr w:leftFromText="180" w:rightFromText="180" w:vertAnchor="text" w:horzAnchor="margin" w:tblpY="503"/>
        <w:tblW w:w="9633" w:type="dxa"/>
        <w:tblLook w:val="04A0" w:firstRow="1" w:lastRow="0" w:firstColumn="1" w:lastColumn="0" w:noHBand="0" w:noVBand="1"/>
      </w:tblPr>
      <w:tblGrid>
        <w:gridCol w:w="2518"/>
        <w:gridCol w:w="1185"/>
        <w:gridCol w:w="1186"/>
        <w:gridCol w:w="1186"/>
        <w:gridCol w:w="1186"/>
        <w:gridCol w:w="1186"/>
        <w:gridCol w:w="1186"/>
      </w:tblGrid>
      <w:tr w:rsidR="00F775B0" w14:paraId="2B09F95A" w14:textId="77777777" w:rsidTr="00F775B0">
        <w:trPr>
          <w:gridBefore w:val="1"/>
          <w:wBefore w:w="2518" w:type="dxa"/>
          <w:trHeight w:val="664"/>
        </w:trPr>
        <w:tc>
          <w:tcPr>
            <w:tcW w:w="2371" w:type="dxa"/>
            <w:gridSpan w:val="2"/>
            <w:tcBorders>
              <w:top w:val="single" w:sz="18" w:space="0" w:color="auto"/>
              <w:left w:val="single" w:sz="18" w:space="0" w:color="auto"/>
              <w:bottom w:val="single" w:sz="4" w:space="0" w:color="auto"/>
              <w:right w:val="single" w:sz="18" w:space="0" w:color="auto"/>
            </w:tcBorders>
            <w:shd w:val="clear" w:color="auto" w:fill="FFC000"/>
          </w:tcPr>
          <w:p w14:paraId="02784531" w14:textId="7FF3929A" w:rsidR="00F775B0" w:rsidRDefault="00F775B0">
            <w:pPr>
              <w:pStyle w:val="NoSpacing"/>
              <w:rPr>
                <w:rFonts w:ascii="Century Gothic" w:hAnsi="Century Gothic"/>
                <w:b/>
                <w:bCs/>
              </w:rPr>
            </w:pPr>
            <w:r>
              <w:rPr>
                <w:rFonts w:ascii="Century Gothic" w:hAnsi="Century Gothic"/>
                <w:b/>
                <w:bCs/>
              </w:rPr>
              <w:t>School</w:t>
            </w:r>
          </w:p>
        </w:tc>
        <w:tc>
          <w:tcPr>
            <w:tcW w:w="2372" w:type="dxa"/>
            <w:gridSpan w:val="2"/>
            <w:tcBorders>
              <w:top w:val="single" w:sz="18" w:space="0" w:color="auto"/>
              <w:left w:val="single" w:sz="18" w:space="0" w:color="auto"/>
              <w:bottom w:val="single" w:sz="4" w:space="0" w:color="auto"/>
              <w:right w:val="single" w:sz="18" w:space="0" w:color="auto"/>
            </w:tcBorders>
            <w:shd w:val="clear" w:color="auto" w:fill="FFC000"/>
            <w:hideMark/>
          </w:tcPr>
          <w:p w14:paraId="5B0310D0" w14:textId="77777777" w:rsidR="00F775B0" w:rsidRDefault="00F775B0">
            <w:pPr>
              <w:pStyle w:val="NoSpacing"/>
              <w:rPr>
                <w:rFonts w:ascii="Century Gothic" w:hAnsi="Century Gothic"/>
                <w:b/>
                <w:bCs/>
              </w:rPr>
            </w:pPr>
            <w:r>
              <w:rPr>
                <w:rFonts w:ascii="Century Gothic" w:hAnsi="Century Gothic"/>
                <w:b/>
                <w:bCs/>
              </w:rPr>
              <w:t>National</w:t>
            </w:r>
          </w:p>
        </w:tc>
        <w:tc>
          <w:tcPr>
            <w:tcW w:w="2372" w:type="dxa"/>
            <w:gridSpan w:val="2"/>
            <w:tcBorders>
              <w:top w:val="single" w:sz="18" w:space="0" w:color="auto"/>
              <w:left w:val="single" w:sz="18" w:space="0" w:color="auto"/>
              <w:bottom w:val="single" w:sz="18" w:space="0" w:color="auto"/>
              <w:right w:val="single" w:sz="18" w:space="0" w:color="auto"/>
            </w:tcBorders>
            <w:shd w:val="clear" w:color="auto" w:fill="FFC000"/>
            <w:hideMark/>
          </w:tcPr>
          <w:p w14:paraId="1FA8D542" w14:textId="26149DB9" w:rsidR="00F775B0" w:rsidRDefault="00F775B0">
            <w:pPr>
              <w:pStyle w:val="NoSpacing"/>
              <w:rPr>
                <w:rFonts w:ascii="Century Gothic" w:hAnsi="Century Gothic"/>
                <w:b/>
                <w:bCs/>
              </w:rPr>
            </w:pPr>
            <w:r>
              <w:rPr>
                <w:rFonts w:ascii="Century Gothic" w:hAnsi="Century Gothic"/>
                <w:b/>
                <w:bCs/>
              </w:rPr>
              <w:t>Difference</w:t>
            </w:r>
          </w:p>
        </w:tc>
      </w:tr>
      <w:tr w:rsidR="00F775B0" w14:paraId="42E78D6D" w14:textId="77777777" w:rsidTr="00F775B0">
        <w:tc>
          <w:tcPr>
            <w:tcW w:w="2518" w:type="dxa"/>
            <w:tcBorders>
              <w:top w:val="single" w:sz="18" w:space="0" w:color="auto"/>
              <w:left w:val="single" w:sz="18" w:space="0" w:color="auto"/>
              <w:bottom w:val="single" w:sz="18" w:space="0" w:color="auto"/>
              <w:right w:val="single" w:sz="18" w:space="0" w:color="auto"/>
            </w:tcBorders>
            <w:shd w:val="clear" w:color="auto" w:fill="FFC000"/>
          </w:tcPr>
          <w:p w14:paraId="38AFCA43" w14:textId="77777777" w:rsidR="00F775B0" w:rsidRDefault="00F775B0">
            <w:pPr>
              <w:pStyle w:val="NoSpacing"/>
              <w:rPr>
                <w:rFonts w:ascii="Century Gothic" w:hAnsi="Century Gothic"/>
                <w:b/>
                <w:bCs/>
              </w:rPr>
            </w:pPr>
            <w:r>
              <w:rPr>
                <w:rFonts w:ascii="Century Gothic" w:hAnsi="Century Gothic"/>
                <w:b/>
                <w:bCs/>
              </w:rPr>
              <w:t>Reception GLD</w:t>
            </w:r>
          </w:p>
          <w:p w14:paraId="4AEF3AA4" w14:textId="77777777" w:rsidR="00F775B0" w:rsidRDefault="00F775B0">
            <w:pPr>
              <w:pStyle w:val="NoSpacing"/>
              <w:rPr>
                <w:rFonts w:ascii="Century Gothic" w:hAnsi="Century Gothic"/>
                <w:b/>
                <w:bCs/>
              </w:rPr>
            </w:pPr>
          </w:p>
        </w:tc>
        <w:tc>
          <w:tcPr>
            <w:tcW w:w="2371" w:type="dxa"/>
            <w:gridSpan w:val="2"/>
            <w:tcBorders>
              <w:top w:val="single" w:sz="18" w:space="0" w:color="auto"/>
              <w:left w:val="single" w:sz="18" w:space="0" w:color="auto"/>
              <w:bottom w:val="single" w:sz="18" w:space="0" w:color="auto"/>
              <w:right w:val="single" w:sz="18" w:space="0" w:color="auto"/>
            </w:tcBorders>
            <w:hideMark/>
          </w:tcPr>
          <w:p w14:paraId="56A9784C" w14:textId="406EAF19" w:rsidR="00F775B0" w:rsidRDefault="00EE5795" w:rsidP="00F775B0">
            <w:pPr>
              <w:pStyle w:val="NoSpacing"/>
              <w:rPr>
                <w:rFonts w:ascii="Century Gothic" w:hAnsi="Century Gothic"/>
                <w:sz w:val="22"/>
                <w:szCs w:val="22"/>
              </w:rPr>
            </w:pPr>
            <w:r>
              <w:rPr>
                <w:rFonts w:ascii="Century Gothic" w:hAnsi="Century Gothic"/>
                <w:sz w:val="22"/>
                <w:szCs w:val="22"/>
              </w:rPr>
              <w:t>60%</w:t>
            </w:r>
          </w:p>
        </w:tc>
        <w:tc>
          <w:tcPr>
            <w:tcW w:w="2372" w:type="dxa"/>
            <w:gridSpan w:val="2"/>
            <w:tcBorders>
              <w:top w:val="single" w:sz="18" w:space="0" w:color="auto"/>
              <w:left w:val="single" w:sz="18" w:space="0" w:color="auto"/>
              <w:bottom w:val="single" w:sz="18" w:space="0" w:color="auto"/>
              <w:right w:val="single" w:sz="18" w:space="0" w:color="auto"/>
            </w:tcBorders>
            <w:hideMark/>
          </w:tcPr>
          <w:p w14:paraId="3E78E9D4" w14:textId="4709E116" w:rsidR="00F775B0" w:rsidRDefault="00EE5795" w:rsidP="00F775B0">
            <w:pPr>
              <w:pStyle w:val="NoSpacing"/>
              <w:rPr>
                <w:rFonts w:ascii="Century Gothic" w:hAnsi="Century Gothic"/>
                <w:sz w:val="22"/>
                <w:szCs w:val="22"/>
              </w:rPr>
            </w:pPr>
            <w:r>
              <w:rPr>
                <w:rFonts w:ascii="Century Gothic" w:hAnsi="Century Gothic"/>
                <w:sz w:val="22"/>
                <w:szCs w:val="22"/>
              </w:rPr>
              <w:t>65%</w:t>
            </w:r>
          </w:p>
        </w:tc>
        <w:tc>
          <w:tcPr>
            <w:tcW w:w="2372" w:type="dxa"/>
            <w:gridSpan w:val="2"/>
            <w:tcBorders>
              <w:top w:val="single" w:sz="18" w:space="0" w:color="auto"/>
              <w:left w:val="single" w:sz="18" w:space="0" w:color="auto"/>
              <w:bottom w:val="single" w:sz="18" w:space="0" w:color="auto"/>
              <w:right w:val="single" w:sz="18" w:space="0" w:color="auto"/>
            </w:tcBorders>
            <w:hideMark/>
          </w:tcPr>
          <w:p w14:paraId="3FAF4B46" w14:textId="13E12F45" w:rsidR="00F775B0" w:rsidRDefault="00EE5795">
            <w:pPr>
              <w:pStyle w:val="NoSpacing"/>
              <w:ind w:left="417"/>
              <w:rPr>
                <w:rFonts w:ascii="Century Gothic" w:hAnsi="Century Gothic"/>
                <w:sz w:val="22"/>
                <w:szCs w:val="22"/>
              </w:rPr>
            </w:pPr>
            <w:r>
              <w:rPr>
                <w:rFonts w:ascii="Century Gothic" w:hAnsi="Century Gothic"/>
                <w:sz w:val="22"/>
                <w:szCs w:val="22"/>
              </w:rPr>
              <w:t>-5%</w:t>
            </w:r>
            <w:r w:rsidR="00F775B0">
              <w:rPr>
                <w:rFonts w:ascii="Century Gothic" w:hAnsi="Century Gothic"/>
                <w:sz w:val="22"/>
                <w:szCs w:val="22"/>
              </w:rPr>
              <w:t xml:space="preserve">       </w:t>
            </w:r>
          </w:p>
        </w:tc>
      </w:tr>
      <w:tr w:rsidR="00F775B0" w14:paraId="0D5E068B" w14:textId="77777777" w:rsidTr="00F775B0">
        <w:tc>
          <w:tcPr>
            <w:tcW w:w="2518" w:type="dxa"/>
            <w:tcBorders>
              <w:top w:val="single" w:sz="18" w:space="0" w:color="auto"/>
              <w:left w:val="single" w:sz="18" w:space="0" w:color="auto"/>
              <w:bottom w:val="single" w:sz="18" w:space="0" w:color="auto"/>
              <w:right w:val="single" w:sz="18" w:space="0" w:color="auto"/>
            </w:tcBorders>
            <w:shd w:val="clear" w:color="auto" w:fill="FFC000"/>
          </w:tcPr>
          <w:p w14:paraId="48297600" w14:textId="77777777" w:rsidR="00F775B0" w:rsidRDefault="00F775B0">
            <w:pPr>
              <w:pStyle w:val="NoSpacing"/>
              <w:rPr>
                <w:rFonts w:ascii="Century Gothic" w:hAnsi="Century Gothic"/>
                <w:b/>
                <w:bCs/>
              </w:rPr>
            </w:pPr>
            <w:r>
              <w:rPr>
                <w:rFonts w:ascii="Century Gothic" w:hAnsi="Century Gothic"/>
                <w:b/>
                <w:bCs/>
              </w:rPr>
              <w:t>Y1 Phonics</w:t>
            </w:r>
          </w:p>
          <w:p w14:paraId="79A0AAF3" w14:textId="77777777" w:rsidR="00F775B0" w:rsidRDefault="00F775B0">
            <w:pPr>
              <w:pStyle w:val="NoSpacing"/>
              <w:rPr>
                <w:rFonts w:ascii="Century Gothic" w:hAnsi="Century Gothic"/>
                <w:b/>
                <w:bCs/>
              </w:rPr>
            </w:pPr>
          </w:p>
        </w:tc>
        <w:tc>
          <w:tcPr>
            <w:tcW w:w="2371" w:type="dxa"/>
            <w:gridSpan w:val="2"/>
            <w:tcBorders>
              <w:top w:val="single" w:sz="18" w:space="0" w:color="auto"/>
              <w:left w:val="single" w:sz="18" w:space="0" w:color="auto"/>
              <w:bottom w:val="single" w:sz="18" w:space="0" w:color="auto"/>
              <w:right w:val="single" w:sz="18" w:space="0" w:color="auto"/>
            </w:tcBorders>
            <w:hideMark/>
          </w:tcPr>
          <w:p w14:paraId="23CB1B06" w14:textId="4C5D3992" w:rsidR="00F775B0" w:rsidRDefault="00EE5795" w:rsidP="00EE5795">
            <w:pPr>
              <w:pStyle w:val="NoSpacing"/>
              <w:rPr>
                <w:rFonts w:ascii="Century Gothic" w:hAnsi="Century Gothic"/>
                <w:sz w:val="22"/>
                <w:szCs w:val="22"/>
              </w:rPr>
            </w:pPr>
            <w:r>
              <w:rPr>
                <w:rFonts w:ascii="Century Gothic" w:hAnsi="Century Gothic"/>
                <w:sz w:val="22"/>
                <w:szCs w:val="22"/>
              </w:rPr>
              <w:t>46%</w:t>
            </w:r>
          </w:p>
        </w:tc>
        <w:tc>
          <w:tcPr>
            <w:tcW w:w="2372" w:type="dxa"/>
            <w:gridSpan w:val="2"/>
            <w:tcBorders>
              <w:top w:val="single" w:sz="18" w:space="0" w:color="auto"/>
              <w:left w:val="single" w:sz="18" w:space="0" w:color="auto"/>
              <w:bottom w:val="single" w:sz="18" w:space="0" w:color="auto"/>
              <w:right w:val="single" w:sz="18" w:space="0" w:color="auto"/>
            </w:tcBorders>
            <w:hideMark/>
          </w:tcPr>
          <w:p w14:paraId="41D87AA3" w14:textId="6DF6B92D" w:rsidR="00F775B0" w:rsidRDefault="00EE5795" w:rsidP="00EE5795">
            <w:pPr>
              <w:pStyle w:val="NoSpacing"/>
              <w:rPr>
                <w:rFonts w:ascii="Century Gothic" w:hAnsi="Century Gothic"/>
                <w:sz w:val="22"/>
                <w:szCs w:val="22"/>
              </w:rPr>
            </w:pPr>
            <w:r>
              <w:rPr>
                <w:rFonts w:ascii="Century Gothic" w:hAnsi="Century Gothic"/>
                <w:sz w:val="22"/>
                <w:szCs w:val="22"/>
              </w:rPr>
              <w:t>76%</w:t>
            </w:r>
          </w:p>
        </w:tc>
        <w:tc>
          <w:tcPr>
            <w:tcW w:w="2372" w:type="dxa"/>
            <w:gridSpan w:val="2"/>
            <w:tcBorders>
              <w:top w:val="single" w:sz="18" w:space="0" w:color="auto"/>
              <w:left w:val="single" w:sz="18" w:space="0" w:color="auto"/>
              <w:bottom w:val="single" w:sz="18" w:space="0" w:color="auto"/>
              <w:right w:val="single" w:sz="18" w:space="0" w:color="auto"/>
            </w:tcBorders>
            <w:hideMark/>
          </w:tcPr>
          <w:p w14:paraId="28E5A7AB" w14:textId="5FCC0836" w:rsidR="00F775B0" w:rsidRDefault="00EE5795" w:rsidP="00EE5795">
            <w:pPr>
              <w:pStyle w:val="NoSpacing"/>
              <w:rPr>
                <w:rFonts w:ascii="Century Gothic" w:hAnsi="Century Gothic"/>
                <w:sz w:val="22"/>
                <w:szCs w:val="22"/>
              </w:rPr>
            </w:pPr>
            <w:r>
              <w:rPr>
                <w:rFonts w:ascii="Century Gothic" w:hAnsi="Century Gothic"/>
                <w:sz w:val="22"/>
                <w:szCs w:val="22"/>
              </w:rPr>
              <w:t xml:space="preserve">     -30%</w:t>
            </w:r>
          </w:p>
        </w:tc>
      </w:tr>
      <w:tr w:rsidR="00EE5795" w14:paraId="6B067796" w14:textId="77777777" w:rsidTr="00F775B0">
        <w:tc>
          <w:tcPr>
            <w:tcW w:w="2518" w:type="dxa"/>
            <w:tcBorders>
              <w:top w:val="single" w:sz="18" w:space="0" w:color="auto"/>
              <w:left w:val="single" w:sz="18" w:space="0" w:color="auto"/>
              <w:bottom w:val="single" w:sz="18" w:space="0" w:color="auto"/>
              <w:right w:val="single" w:sz="18" w:space="0" w:color="auto"/>
            </w:tcBorders>
            <w:shd w:val="clear" w:color="auto" w:fill="FFC000"/>
          </w:tcPr>
          <w:p w14:paraId="4FC51A0D" w14:textId="57854A19" w:rsidR="00EE5795" w:rsidRDefault="00EE5795">
            <w:pPr>
              <w:pStyle w:val="NoSpacing"/>
              <w:rPr>
                <w:rFonts w:ascii="Century Gothic" w:hAnsi="Century Gothic"/>
                <w:b/>
                <w:bCs/>
              </w:rPr>
            </w:pPr>
            <w:r>
              <w:rPr>
                <w:rFonts w:ascii="Century Gothic" w:hAnsi="Century Gothic"/>
                <w:b/>
                <w:bCs/>
              </w:rPr>
              <w:t>Y2 Phonics</w:t>
            </w:r>
          </w:p>
          <w:p w14:paraId="7056F148" w14:textId="7226A642" w:rsidR="00EE5795" w:rsidRDefault="00EE5795">
            <w:pPr>
              <w:pStyle w:val="NoSpacing"/>
              <w:rPr>
                <w:rFonts w:ascii="Century Gothic" w:hAnsi="Century Gothic"/>
                <w:b/>
                <w:bCs/>
              </w:rPr>
            </w:pPr>
          </w:p>
        </w:tc>
        <w:tc>
          <w:tcPr>
            <w:tcW w:w="2371" w:type="dxa"/>
            <w:gridSpan w:val="2"/>
            <w:tcBorders>
              <w:top w:val="single" w:sz="18" w:space="0" w:color="auto"/>
              <w:left w:val="single" w:sz="18" w:space="0" w:color="auto"/>
              <w:bottom w:val="single" w:sz="18" w:space="0" w:color="auto"/>
              <w:right w:val="single" w:sz="18" w:space="0" w:color="auto"/>
            </w:tcBorders>
          </w:tcPr>
          <w:p w14:paraId="52734CCB" w14:textId="62A220BF" w:rsidR="00EE5795" w:rsidRDefault="00EE5795" w:rsidP="00EE5795">
            <w:pPr>
              <w:pStyle w:val="NoSpacing"/>
              <w:rPr>
                <w:rFonts w:ascii="Century Gothic" w:hAnsi="Century Gothic"/>
                <w:sz w:val="22"/>
                <w:szCs w:val="22"/>
              </w:rPr>
            </w:pPr>
            <w:r>
              <w:rPr>
                <w:rFonts w:ascii="Century Gothic" w:hAnsi="Century Gothic"/>
                <w:sz w:val="22"/>
                <w:szCs w:val="22"/>
              </w:rPr>
              <w:t>85%</w:t>
            </w:r>
          </w:p>
        </w:tc>
        <w:tc>
          <w:tcPr>
            <w:tcW w:w="2372" w:type="dxa"/>
            <w:gridSpan w:val="2"/>
            <w:tcBorders>
              <w:top w:val="single" w:sz="18" w:space="0" w:color="auto"/>
              <w:left w:val="single" w:sz="18" w:space="0" w:color="auto"/>
              <w:bottom w:val="single" w:sz="18" w:space="0" w:color="auto"/>
              <w:right w:val="single" w:sz="18" w:space="0" w:color="auto"/>
            </w:tcBorders>
          </w:tcPr>
          <w:p w14:paraId="2C55E87B" w14:textId="26775BAE" w:rsidR="00EE5795" w:rsidRDefault="00EE5795" w:rsidP="00EE5795">
            <w:pPr>
              <w:pStyle w:val="NoSpacing"/>
              <w:rPr>
                <w:rFonts w:ascii="Century Gothic" w:hAnsi="Century Gothic"/>
                <w:sz w:val="22"/>
                <w:szCs w:val="22"/>
              </w:rPr>
            </w:pPr>
            <w:r>
              <w:rPr>
                <w:rFonts w:ascii="Century Gothic" w:hAnsi="Century Gothic"/>
                <w:sz w:val="22"/>
                <w:szCs w:val="22"/>
              </w:rPr>
              <w:t>86%</w:t>
            </w:r>
          </w:p>
        </w:tc>
        <w:tc>
          <w:tcPr>
            <w:tcW w:w="2372" w:type="dxa"/>
            <w:gridSpan w:val="2"/>
            <w:tcBorders>
              <w:top w:val="single" w:sz="18" w:space="0" w:color="auto"/>
              <w:left w:val="single" w:sz="18" w:space="0" w:color="auto"/>
              <w:bottom w:val="single" w:sz="18" w:space="0" w:color="auto"/>
              <w:right w:val="single" w:sz="18" w:space="0" w:color="auto"/>
            </w:tcBorders>
          </w:tcPr>
          <w:p w14:paraId="76C47D43" w14:textId="70DE084E" w:rsidR="00EE5795" w:rsidRDefault="00EE5795" w:rsidP="00EE5795">
            <w:pPr>
              <w:pStyle w:val="NoSpacing"/>
              <w:rPr>
                <w:rFonts w:ascii="Century Gothic" w:hAnsi="Century Gothic"/>
                <w:sz w:val="22"/>
                <w:szCs w:val="22"/>
              </w:rPr>
            </w:pPr>
            <w:r>
              <w:rPr>
                <w:rFonts w:ascii="Century Gothic" w:hAnsi="Century Gothic"/>
                <w:sz w:val="22"/>
                <w:szCs w:val="22"/>
              </w:rPr>
              <w:t xml:space="preserve">     -1%</w:t>
            </w:r>
          </w:p>
        </w:tc>
      </w:tr>
      <w:tr w:rsidR="00F775B0" w14:paraId="4C98E7EE" w14:textId="77777777" w:rsidTr="00F775B0">
        <w:trPr>
          <w:trHeight w:val="92"/>
        </w:trPr>
        <w:tc>
          <w:tcPr>
            <w:tcW w:w="2518" w:type="dxa"/>
            <w:vMerge w:val="restart"/>
            <w:tcBorders>
              <w:top w:val="single" w:sz="18" w:space="0" w:color="auto"/>
              <w:left w:val="single" w:sz="18" w:space="0" w:color="auto"/>
              <w:bottom w:val="single" w:sz="18" w:space="0" w:color="auto"/>
              <w:right w:val="single" w:sz="18" w:space="0" w:color="auto"/>
            </w:tcBorders>
            <w:shd w:val="clear" w:color="auto" w:fill="FFC000"/>
            <w:hideMark/>
          </w:tcPr>
          <w:p w14:paraId="6B2DB78B" w14:textId="77777777" w:rsidR="00F775B0" w:rsidRDefault="00F775B0">
            <w:pPr>
              <w:pStyle w:val="NoSpacing"/>
              <w:rPr>
                <w:rFonts w:ascii="Century Gothic" w:hAnsi="Century Gothic"/>
                <w:b/>
                <w:bCs/>
              </w:rPr>
            </w:pPr>
            <w:r>
              <w:rPr>
                <w:rFonts w:ascii="Century Gothic" w:hAnsi="Century Gothic"/>
                <w:b/>
                <w:bCs/>
              </w:rPr>
              <w:t xml:space="preserve">KS1 SATs </w:t>
            </w:r>
          </w:p>
          <w:p w14:paraId="53E7406A" w14:textId="77777777" w:rsidR="00F775B0" w:rsidRDefault="00F775B0">
            <w:pPr>
              <w:pStyle w:val="NoSpacing"/>
              <w:rPr>
                <w:rFonts w:ascii="Century Gothic" w:hAnsi="Century Gothic"/>
                <w:b/>
                <w:bCs/>
              </w:rPr>
            </w:pPr>
            <w:r>
              <w:rPr>
                <w:rFonts w:ascii="Century Gothic" w:hAnsi="Century Gothic"/>
                <w:b/>
                <w:bCs/>
                <w:color w:val="FF0000"/>
                <w:sz w:val="22"/>
                <w:szCs w:val="22"/>
              </w:rPr>
              <w:t>(EXP+)</w:t>
            </w:r>
          </w:p>
        </w:tc>
        <w:tc>
          <w:tcPr>
            <w:tcW w:w="1185" w:type="dxa"/>
            <w:tcBorders>
              <w:top w:val="single" w:sz="18" w:space="0" w:color="auto"/>
              <w:left w:val="single" w:sz="18" w:space="0" w:color="auto"/>
              <w:bottom w:val="single" w:sz="4" w:space="0" w:color="auto"/>
              <w:right w:val="single" w:sz="4" w:space="0" w:color="auto"/>
            </w:tcBorders>
            <w:hideMark/>
          </w:tcPr>
          <w:p w14:paraId="699EF228" w14:textId="77777777" w:rsidR="00F775B0" w:rsidRDefault="00F775B0">
            <w:pPr>
              <w:pStyle w:val="NoSpacing"/>
              <w:rPr>
                <w:rFonts w:ascii="Century Gothic" w:hAnsi="Century Gothic"/>
                <w:sz w:val="22"/>
                <w:szCs w:val="22"/>
              </w:rPr>
            </w:pPr>
            <w:r>
              <w:rPr>
                <w:rFonts w:ascii="Century Gothic" w:hAnsi="Century Gothic"/>
                <w:sz w:val="22"/>
                <w:szCs w:val="22"/>
              </w:rPr>
              <w:t>Reading</w:t>
            </w:r>
          </w:p>
        </w:tc>
        <w:tc>
          <w:tcPr>
            <w:tcW w:w="1186" w:type="dxa"/>
            <w:tcBorders>
              <w:top w:val="single" w:sz="18" w:space="0" w:color="auto"/>
              <w:left w:val="single" w:sz="4" w:space="0" w:color="auto"/>
              <w:bottom w:val="single" w:sz="4" w:space="0" w:color="auto"/>
              <w:right w:val="single" w:sz="18" w:space="0" w:color="auto"/>
            </w:tcBorders>
            <w:hideMark/>
          </w:tcPr>
          <w:p w14:paraId="11BCC598" w14:textId="53BD1596" w:rsidR="00F775B0" w:rsidRDefault="00537726">
            <w:pPr>
              <w:pStyle w:val="NoSpacing"/>
              <w:jc w:val="center"/>
              <w:rPr>
                <w:rFonts w:ascii="Century Gothic" w:hAnsi="Century Gothic"/>
                <w:sz w:val="22"/>
                <w:szCs w:val="22"/>
              </w:rPr>
            </w:pPr>
            <w:r>
              <w:rPr>
                <w:rFonts w:ascii="Century Gothic" w:hAnsi="Century Gothic"/>
                <w:sz w:val="22"/>
                <w:szCs w:val="22"/>
              </w:rPr>
              <w:t>52%</w:t>
            </w:r>
          </w:p>
        </w:tc>
        <w:tc>
          <w:tcPr>
            <w:tcW w:w="1186" w:type="dxa"/>
            <w:tcBorders>
              <w:top w:val="single" w:sz="18" w:space="0" w:color="auto"/>
              <w:left w:val="single" w:sz="18" w:space="0" w:color="auto"/>
              <w:bottom w:val="single" w:sz="4" w:space="0" w:color="auto"/>
              <w:right w:val="single" w:sz="4" w:space="0" w:color="auto"/>
            </w:tcBorders>
            <w:hideMark/>
          </w:tcPr>
          <w:p w14:paraId="11F522A0" w14:textId="77777777" w:rsidR="00F775B0" w:rsidRDefault="00F775B0">
            <w:pPr>
              <w:pStyle w:val="NoSpacing"/>
              <w:rPr>
                <w:rFonts w:ascii="Century Gothic" w:hAnsi="Century Gothic"/>
                <w:sz w:val="22"/>
                <w:szCs w:val="22"/>
              </w:rPr>
            </w:pPr>
            <w:r>
              <w:rPr>
                <w:rFonts w:ascii="Century Gothic" w:hAnsi="Century Gothic"/>
                <w:sz w:val="22"/>
                <w:szCs w:val="22"/>
              </w:rPr>
              <w:t>Reading</w:t>
            </w:r>
          </w:p>
        </w:tc>
        <w:tc>
          <w:tcPr>
            <w:tcW w:w="1186" w:type="dxa"/>
            <w:tcBorders>
              <w:top w:val="single" w:sz="18" w:space="0" w:color="auto"/>
              <w:left w:val="single" w:sz="4" w:space="0" w:color="auto"/>
              <w:bottom w:val="single" w:sz="4" w:space="0" w:color="auto"/>
              <w:right w:val="single" w:sz="18" w:space="0" w:color="auto"/>
            </w:tcBorders>
            <w:hideMark/>
          </w:tcPr>
          <w:p w14:paraId="043E15C4" w14:textId="3968E386" w:rsidR="00F775B0" w:rsidRDefault="00537726" w:rsidP="00F775B0">
            <w:pPr>
              <w:pStyle w:val="NoSpacing"/>
              <w:rPr>
                <w:rFonts w:ascii="Century Gothic" w:hAnsi="Century Gothic"/>
                <w:sz w:val="22"/>
                <w:szCs w:val="22"/>
              </w:rPr>
            </w:pPr>
            <w:r>
              <w:rPr>
                <w:rFonts w:ascii="Century Gothic" w:hAnsi="Century Gothic"/>
                <w:sz w:val="22"/>
                <w:szCs w:val="22"/>
              </w:rPr>
              <w:t>68%</w:t>
            </w:r>
          </w:p>
        </w:tc>
        <w:tc>
          <w:tcPr>
            <w:tcW w:w="1186" w:type="dxa"/>
            <w:tcBorders>
              <w:top w:val="single" w:sz="18" w:space="0" w:color="auto"/>
              <w:left w:val="single" w:sz="18" w:space="0" w:color="auto"/>
              <w:bottom w:val="single" w:sz="4" w:space="0" w:color="auto"/>
              <w:right w:val="single" w:sz="4" w:space="0" w:color="auto"/>
            </w:tcBorders>
            <w:hideMark/>
          </w:tcPr>
          <w:p w14:paraId="5CD5B82C" w14:textId="77777777" w:rsidR="00F775B0" w:rsidRDefault="00F775B0">
            <w:pPr>
              <w:pStyle w:val="NoSpacing"/>
              <w:rPr>
                <w:rFonts w:ascii="Century Gothic" w:hAnsi="Century Gothic"/>
                <w:sz w:val="22"/>
                <w:szCs w:val="22"/>
              </w:rPr>
            </w:pPr>
            <w:r>
              <w:rPr>
                <w:rFonts w:ascii="Century Gothic" w:hAnsi="Century Gothic"/>
                <w:sz w:val="22"/>
                <w:szCs w:val="22"/>
              </w:rPr>
              <w:t>Reading</w:t>
            </w:r>
          </w:p>
        </w:tc>
        <w:tc>
          <w:tcPr>
            <w:tcW w:w="1186" w:type="dxa"/>
            <w:tcBorders>
              <w:top w:val="single" w:sz="18" w:space="0" w:color="auto"/>
              <w:left w:val="single" w:sz="4" w:space="0" w:color="auto"/>
              <w:bottom w:val="single" w:sz="4" w:space="0" w:color="auto"/>
              <w:right w:val="single" w:sz="18" w:space="0" w:color="auto"/>
            </w:tcBorders>
            <w:shd w:val="clear" w:color="auto" w:fill="FF0000"/>
            <w:hideMark/>
          </w:tcPr>
          <w:p w14:paraId="0E076420" w14:textId="3959911E" w:rsidR="00F775B0" w:rsidRDefault="00537726">
            <w:pPr>
              <w:pStyle w:val="NoSpacing"/>
              <w:jc w:val="center"/>
              <w:rPr>
                <w:rFonts w:ascii="Century Gothic" w:hAnsi="Century Gothic"/>
                <w:color w:val="auto"/>
                <w:sz w:val="22"/>
                <w:szCs w:val="22"/>
              </w:rPr>
            </w:pPr>
            <w:r>
              <w:rPr>
                <w:rFonts w:ascii="Century Gothic" w:hAnsi="Century Gothic"/>
                <w:color w:val="auto"/>
                <w:sz w:val="22"/>
                <w:szCs w:val="22"/>
              </w:rPr>
              <w:t>-16%</w:t>
            </w:r>
          </w:p>
        </w:tc>
      </w:tr>
      <w:tr w:rsidR="00F775B0" w14:paraId="0B310393" w14:textId="77777777" w:rsidTr="00F775B0">
        <w:trPr>
          <w:trHeight w:val="92"/>
        </w:trPr>
        <w:tc>
          <w:tcPr>
            <w:tcW w:w="0" w:type="auto"/>
            <w:vMerge/>
            <w:tcBorders>
              <w:top w:val="single" w:sz="18" w:space="0" w:color="auto"/>
              <w:left w:val="single" w:sz="18" w:space="0" w:color="auto"/>
              <w:bottom w:val="single" w:sz="18" w:space="0" w:color="auto"/>
              <w:right w:val="single" w:sz="18" w:space="0" w:color="auto"/>
            </w:tcBorders>
            <w:vAlign w:val="center"/>
            <w:hideMark/>
          </w:tcPr>
          <w:p w14:paraId="21067A2B" w14:textId="77777777" w:rsidR="00F775B0" w:rsidRDefault="00F775B0">
            <w:pPr>
              <w:suppressAutoHyphens w:val="0"/>
              <w:spacing w:after="0" w:line="240" w:lineRule="auto"/>
              <w:rPr>
                <w:rFonts w:ascii="Century Gothic" w:hAnsi="Century Gothic"/>
                <w:b/>
                <w:bCs/>
              </w:rPr>
            </w:pPr>
          </w:p>
        </w:tc>
        <w:tc>
          <w:tcPr>
            <w:tcW w:w="1185" w:type="dxa"/>
            <w:tcBorders>
              <w:top w:val="single" w:sz="4" w:space="0" w:color="auto"/>
              <w:left w:val="single" w:sz="18" w:space="0" w:color="auto"/>
              <w:bottom w:val="single" w:sz="4" w:space="0" w:color="auto"/>
              <w:right w:val="single" w:sz="4" w:space="0" w:color="auto"/>
            </w:tcBorders>
            <w:hideMark/>
          </w:tcPr>
          <w:p w14:paraId="10897BE5" w14:textId="77777777" w:rsidR="00F775B0" w:rsidRDefault="00F775B0">
            <w:pPr>
              <w:pStyle w:val="NoSpacing"/>
              <w:rPr>
                <w:rFonts w:ascii="Century Gothic" w:hAnsi="Century Gothic"/>
                <w:sz w:val="22"/>
                <w:szCs w:val="22"/>
              </w:rPr>
            </w:pPr>
            <w:r>
              <w:rPr>
                <w:rFonts w:ascii="Century Gothic" w:hAnsi="Century Gothic"/>
                <w:sz w:val="22"/>
                <w:szCs w:val="22"/>
              </w:rPr>
              <w:t>Writing</w:t>
            </w:r>
          </w:p>
        </w:tc>
        <w:tc>
          <w:tcPr>
            <w:tcW w:w="1186" w:type="dxa"/>
            <w:tcBorders>
              <w:top w:val="single" w:sz="4" w:space="0" w:color="auto"/>
              <w:left w:val="single" w:sz="4" w:space="0" w:color="auto"/>
              <w:bottom w:val="single" w:sz="4" w:space="0" w:color="auto"/>
              <w:right w:val="single" w:sz="18" w:space="0" w:color="auto"/>
            </w:tcBorders>
            <w:hideMark/>
          </w:tcPr>
          <w:p w14:paraId="0562C37B" w14:textId="5A72CEFE" w:rsidR="00F775B0" w:rsidRDefault="00537726">
            <w:pPr>
              <w:pStyle w:val="NoSpacing"/>
              <w:jc w:val="center"/>
              <w:rPr>
                <w:rFonts w:ascii="Century Gothic" w:hAnsi="Century Gothic"/>
                <w:sz w:val="22"/>
                <w:szCs w:val="22"/>
              </w:rPr>
            </w:pPr>
            <w:r>
              <w:rPr>
                <w:rFonts w:ascii="Century Gothic" w:hAnsi="Century Gothic"/>
                <w:sz w:val="22"/>
                <w:szCs w:val="22"/>
              </w:rPr>
              <w:t>33%</w:t>
            </w:r>
          </w:p>
        </w:tc>
        <w:tc>
          <w:tcPr>
            <w:tcW w:w="1186" w:type="dxa"/>
            <w:tcBorders>
              <w:top w:val="single" w:sz="4" w:space="0" w:color="auto"/>
              <w:left w:val="single" w:sz="18" w:space="0" w:color="auto"/>
              <w:bottom w:val="single" w:sz="4" w:space="0" w:color="auto"/>
              <w:right w:val="single" w:sz="4" w:space="0" w:color="auto"/>
            </w:tcBorders>
            <w:hideMark/>
          </w:tcPr>
          <w:p w14:paraId="38F1FD82" w14:textId="77777777" w:rsidR="00F775B0" w:rsidRDefault="00F775B0">
            <w:pPr>
              <w:pStyle w:val="NoSpacing"/>
              <w:rPr>
                <w:rFonts w:ascii="Century Gothic" w:hAnsi="Century Gothic"/>
                <w:sz w:val="22"/>
                <w:szCs w:val="22"/>
              </w:rPr>
            </w:pPr>
            <w:r>
              <w:rPr>
                <w:rFonts w:ascii="Century Gothic" w:hAnsi="Century Gothic"/>
                <w:sz w:val="22"/>
                <w:szCs w:val="22"/>
              </w:rPr>
              <w:t>Writing</w:t>
            </w:r>
          </w:p>
        </w:tc>
        <w:tc>
          <w:tcPr>
            <w:tcW w:w="1186" w:type="dxa"/>
            <w:tcBorders>
              <w:top w:val="single" w:sz="4" w:space="0" w:color="auto"/>
              <w:left w:val="single" w:sz="4" w:space="0" w:color="auto"/>
              <w:bottom w:val="single" w:sz="4" w:space="0" w:color="auto"/>
              <w:right w:val="single" w:sz="18" w:space="0" w:color="auto"/>
            </w:tcBorders>
            <w:hideMark/>
          </w:tcPr>
          <w:p w14:paraId="36972411" w14:textId="07B05A3B" w:rsidR="00F775B0" w:rsidRDefault="00537726" w:rsidP="00F775B0">
            <w:pPr>
              <w:pStyle w:val="NoSpacing"/>
              <w:rPr>
                <w:rFonts w:ascii="Century Gothic" w:hAnsi="Century Gothic"/>
                <w:sz w:val="22"/>
                <w:szCs w:val="22"/>
              </w:rPr>
            </w:pPr>
            <w:r>
              <w:rPr>
                <w:rFonts w:ascii="Century Gothic" w:hAnsi="Century Gothic"/>
                <w:sz w:val="22"/>
                <w:szCs w:val="22"/>
              </w:rPr>
              <w:t>58%</w:t>
            </w:r>
          </w:p>
        </w:tc>
        <w:tc>
          <w:tcPr>
            <w:tcW w:w="1186" w:type="dxa"/>
            <w:tcBorders>
              <w:top w:val="single" w:sz="4" w:space="0" w:color="auto"/>
              <w:left w:val="single" w:sz="18" w:space="0" w:color="auto"/>
              <w:bottom w:val="single" w:sz="4" w:space="0" w:color="auto"/>
              <w:right w:val="single" w:sz="4" w:space="0" w:color="auto"/>
            </w:tcBorders>
            <w:hideMark/>
          </w:tcPr>
          <w:p w14:paraId="5F4F70B9" w14:textId="77777777" w:rsidR="00F775B0" w:rsidRDefault="00F775B0">
            <w:pPr>
              <w:pStyle w:val="NoSpacing"/>
              <w:rPr>
                <w:rFonts w:ascii="Century Gothic" w:hAnsi="Century Gothic"/>
                <w:sz w:val="22"/>
                <w:szCs w:val="22"/>
              </w:rPr>
            </w:pPr>
            <w:r>
              <w:rPr>
                <w:rFonts w:ascii="Century Gothic" w:hAnsi="Century Gothic"/>
                <w:sz w:val="22"/>
                <w:szCs w:val="22"/>
              </w:rPr>
              <w:t>Writing</w:t>
            </w:r>
          </w:p>
        </w:tc>
        <w:tc>
          <w:tcPr>
            <w:tcW w:w="1186" w:type="dxa"/>
            <w:tcBorders>
              <w:top w:val="single" w:sz="4" w:space="0" w:color="auto"/>
              <w:left w:val="single" w:sz="4" w:space="0" w:color="auto"/>
              <w:bottom w:val="single" w:sz="4" w:space="0" w:color="auto"/>
              <w:right w:val="single" w:sz="18" w:space="0" w:color="auto"/>
            </w:tcBorders>
            <w:shd w:val="clear" w:color="auto" w:fill="FF0000"/>
            <w:hideMark/>
          </w:tcPr>
          <w:p w14:paraId="05A44D2A" w14:textId="072DEAE6" w:rsidR="00F775B0" w:rsidRDefault="00537726">
            <w:pPr>
              <w:pStyle w:val="NoSpacing"/>
              <w:jc w:val="center"/>
              <w:rPr>
                <w:rFonts w:ascii="Century Gothic" w:hAnsi="Century Gothic"/>
                <w:color w:val="auto"/>
                <w:sz w:val="22"/>
                <w:szCs w:val="22"/>
              </w:rPr>
            </w:pPr>
            <w:r>
              <w:rPr>
                <w:rFonts w:ascii="Century Gothic" w:hAnsi="Century Gothic"/>
                <w:color w:val="auto"/>
                <w:sz w:val="22"/>
                <w:szCs w:val="22"/>
              </w:rPr>
              <w:t>-25%</w:t>
            </w:r>
          </w:p>
        </w:tc>
      </w:tr>
      <w:tr w:rsidR="00F775B0" w14:paraId="7EF5489E" w14:textId="77777777" w:rsidTr="00F775B0">
        <w:trPr>
          <w:trHeight w:val="92"/>
        </w:trPr>
        <w:tc>
          <w:tcPr>
            <w:tcW w:w="0" w:type="auto"/>
            <w:vMerge/>
            <w:tcBorders>
              <w:top w:val="single" w:sz="18" w:space="0" w:color="auto"/>
              <w:left w:val="single" w:sz="18" w:space="0" w:color="auto"/>
              <w:bottom w:val="single" w:sz="18" w:space="0" w:color="auto"/>
              <w:right w:val="single" w:sz="18" w:space="0" w:color="auto"/>
            </w:tcBorders>
            <w:vAlign w:val="center"/>
            <w:hideMark/>
          </w:tcPr>
          <w:p w14:paraId="7262E488" w14:textId="77777777" w:rsidR="00F775B0" w:rsidRDefault="00F775B0">
            <w:pPr>
              <w:suppressAutoHyphens w:val="0"/>
              <w:spacing w:after="0" w:line="240" w:lineRule="auto"/>
              <w:rPr>
                <w:rFonts w:ascii="Century Gothic" w:hAnsi="Century Gothic"/>
                <w:b/>
                <w:bCs/>
              </w:rPr>
            </w:pPr>
          </w:p>
        </w:tc>
        <w:tc>
          <w:tcPr>
            <w:tcW w:w="1185" w:type="dxa"/>
            <w:tcBorders>
              <w:top w:val="single" w:sz="4" w:space="0" w:color="auto"/>
              <w:left w:val="single" w:sz="18" w:space="0" w:color="auto"/>
              <w:bottom w:val="single" w:sz="18" w:space="0" w:color="auto"/>
              <w:right w:val="single" w:sz="4" w:space="0" w:color="auto"/>
            </w:tcBorders>
            <w:hideMark/>
          </w:tcPr>
          <w:p w14:paraId="56E63635" w14:textId="77777777" w:rsidR="00F775B0" w:rsidRDefault="00F775B0">
            <w:pPr>
              <w:pStyle w:val="NoSpacing"/>
              <w:rPr>
                <w:rFonts w:ascii="Century Gothic" w:hAnsi="Century Gothic"/>
                <w:sz w:val="22"/>
                <w:szCs w:val="22"/>
              </w:rPr>
            </w:pPr>
            <w:r>
              <w:rPr>
                <w:rFonts w:ascii="Century Gothic" w:hAnsi="Century Gothic"/>
                <w:sz w:val="22"/>
                <w:szCs w:val="22"/>
              </w:rPr>
              <w:t>Maths</w:t>
            </w:r>
          </w:p>
        </w:tc>
        <w:tc>
          <w:tcPr>
            <w:tcW w:w="1186" w:type="dxa"/>
            <w:tcBorders>
              <w:top w:val="single" w:sz="4" w:space="0" w:color="auto"/>
              <w:left w:val="single" w:sz="4" w:space="0" w:color="auto"/>
              <w:bottom w:val="single" w:sz="18" w:space="0" w:color="auto"/>
              <w:right w:val="single" w:sz="18" w:space="0" w:color="auto"/>
            </w:tcBorders>
            <w:hideMark/>
          </w:tcPr>
          <w:p w14:paraId="58BA7262" w14:textId="1A23905C" w:rsidR="00F775B0" w:rsidRDefault="00537726">
            <w:pPr>
              <w:pStyle w:val="NoSpacing"/>
              <w:jc w:val="center"/>
              <w:rPr>
                <w:rFonts w:ascii="Century Gothic" w:hAnsi="Century Gothic"/>
                <w:sz w:val="22"/>
                <w:szCs w:val="22"/>
              </w:rPr>
            </w:pPr>
            <w:r>
              <w:rPr>
                <w:rFonts w:ascii="Century Gothic" w:hAnsi="Century Gothic"/>
                <w:sz w:val="22"/>
                <w:szCs w:val="22"/>
              </w:rPr>
              <w:t>56%</w:t>
            </w:r>
          </w:p>
        </w:tc>
        <w:tc>
          <w:tcPr>
            <w:tcW w:w="1186" w:type="dxa"/>
            <w:tcBorders>
              <w:top w:val="single" w:sz="4" w:space="0" w:color="auto"/>
              <w:left w:val="single" w:sz="18" w:space="0" w:color="auto"/>
              <w:bottom w:val="single" w:sz="18" w:space="0" w:color="auto"/>
              <w:right w:val="single" w:sz="4" w:space="0" w:color="auto"/>
            </w:tcBorders>
            <w:hideMark/>
          </w:tcPr>
          <w:p w14:paraId="03C2FF5C" w14:textId="77777777" w:rsidR="00F775B0" w:rsidRDefault="00F775B0">
            <w:pPr>
              <w:pStyle w:val="NoSpacing"/>
              <w:rPr>
                <w:rFonts w:ascii="Century Gothic" w:hAnsi="Century Gothic"/>
                <w:sz w:val="22"/>
                <w:szCs w:val="22"/>
              </w:rPr>
            </w:pPr>
            <w:r>
              <w:rPr>
                <w:rFonts w:ascii="Century Gothic" w:hAnsi="Century Gothic"/>
                <w:sz w:val="22"/>
                <w:szCs w:val="22"/>
              </w:rPr>
              <w:t>Maths</w:t>
            </w:r>
          </w:p>
        </w:tc>
        <w:tc>
          <w:tcPr>
            <w:tcW w:w="1186" w:type="dxa"/>
            <w:tcBorders>
              <w:top w:val="single" w:sz="4" w:space="0" w:color="auto"/>
              <w:left w:val="single" w:sz="4" w:space="0" w:color="auto"/>
              <w:bottom w:val="single" w:sz="18" w:space="0" w:color="auto"/>
              <w:right w:val="single" w:sz="18" w:space="0" w:color="auto"/>
            </w:tcBorders>
            <w:hideMark/>
          </w:tcPr>
          <w:p w14:paraId="6ACB1328" w14:textId="1E08A066" w:rsidR="00F775B0" w:rsidRDefault="00537726" w:rsidP="00F775B0">
            <w:pPr>
              <w:pStyle w:val="NoSpacing"/>
              <w:rPr>
                <w:rFonts w:ascii="Century Gothic" w:hAnsi="Century Gothic"/>
                <w:sz w:val="22"/>
                <w:szCs w:val="22"/>
              </w:rPr>
            </w:pPr>
            <w:r>
              <w:rPr>
                <w:rFonts w:ascii="Century Gothic" w:hAnsi="Century Gothic"/>
                <w:sz w:val="22"/>
                <w:szCs w:val="22"/>
              </w:rPr>
              <w:t>68%</w:t>
            </w:r>
          </w:p>
        </w:tc>
        <w:tc>
          <w:tcPr>
            <w:tcW w:w="1186" w:type="dxa"/>
            <w:tcBorders>
              <w:top w:val="single" w:sz="4" w:space="0" w:color="auto"/>
              <w:left w:val="single" w:sz="18" w:space="0" w:color="auto"/>
              <w:bottom w:val="single" w:sz="18" w:space="0" w:color="auto"/>
              <w:right w:val="single" w:sz="4" w:space="0" w:color="auto"/>
            </w:tcBorders>
            <w:hideMark/>
          </w:tcPr>
          <w:p w14:paraId="0BAAE237" w14:textId="77777777" w:rsidR="00F775B0" w:rsidRDefault="00F775B0">
            <w:pPr>
              <w:pStyle w:val="NoSpacing"/>
              <w:rPr>
                <w:rFonts w:ascii="Century Gothic" w:hAnsi="Century Gothic"/>
                <w:sz w:val="22"/>
                <w:szCs w:val="22"/>
              </w:rPr>
            </w:pPr>
            <w:r>
              <w:rPr>
                <w:rFonts w:ascii="Century Gothic" w:hAnsi="Century Gothic"/>
                <w:sz w:val="22"/>
                <w:szCs w:val="22"/>
              </w:rPr>
              <w:t>Maths</w:t>
            </w:r>
          </w:p>
        </w:tc>
        <w:tc>
          <w:tcPr>
            <w:tcW w:w="1186" w:type="dxa"/>
            <w:tcBorders>
              <w:top w:val="single" w:sz="4" w:space="0" w:color="auto"/>
              <w:left w:val="single" w:sz="4" w:space="0" w:color="auto"/>
              <w:bottom w:val="single" w:sz="18" w:space="0" w:color="auto"/>
              <w:right w:val="single" w:sz="18" w:space="0" w:color="auto"/>
            </w:tcBorders>
            <w:shd w:val="clear" w:color="auto" w:fill="FF0000"/>
            <w:hideMark/>
          </w:tcPr>
          <w:p w14:paraId="35B5150C" w14:textId="721756DB" w:rsidR="00F775B0" w:rsidRDefault="00537726">
            <w:pPr>
              <w:pStyle w:val="NoSpacing"/>
              <w:jc w:val="center"/>
              <w:rPr>
                <w:rFonts w:ascii="Century Gothic" w:hAnsi="Century Gothic"/>
                <w:color w:val="auto"/>
                <w:sz w:val="22"/>
                <w:szCs w:val="22"/>
              </w:rPr>
            </w:pPr>
            <w:r>
              <w:rPr>
                <w:rFonts w:ascii="Century Gothic" w:hAnsi="Century Gothic"/>
                <w:color w:val="auto"/>
                <w:sz w:val="22"/>
                <w:szCs w:val="22"/>
              </w:rPr>
              <w:t>-12%</w:t>
            </w:r>
          </w:p>
        </w:tc>
      </w:tr>
      <w:tr w:rsidR="00F775B0" w14:paraId="12F93A8A" w14:textId="77777777" w:rsidTr="00F775B0">
        <w:trPr>
          <w:trHeight w:val="69"/>
        </w:trPr>
        <w:tc>
          <w:tcPr>
            <w:tcW w:w="2518" w:type="dxa"/>
            <w:vMerge w:val="restart"/>
            <w:tcBorders>
              <w:top w:val="single" w:sz="18" w:space="0" w:color="auto"/>
              <w:left w:val="single" w:sz="18" w:space="0" w:color="auto"/>
              <w:bottom w:val="single" w:sz="18" w:space="0" w:color="auto"/>
              <w:right w:val="single" w:sz="18" w:space="0" w:color="auto"/>
            </w:tcBorders>
            <w:shd w:val="clear" w:color="auto" w:fill="FFC000"/>
            <w:hideMark/>
          </w:tcPr>
          <w:p w14:paraId="22EFDEBE" w14:textId="77777777" w:rsidR="00F775B0" w:rsidRDefault="00F775B0">
            <w:pPr>
              <w:pStyle w:val="NoSpacing"/>
              <w:rPr>
                <w:rFonts w:ascii="Century Gothic" w:hAnsi="Century Gothic"/>
                <w:b/>
                <w:bCs/>
              </w:rPr>
            </w:pPr>
            <w:r>
              <w:rPr>
                <w:rFonts w:ascii="Century Gothic" w:hAnsi="Century Gothic"/>
                <w:b/>
                <w:bCs/>
              </w:rPr>
              <w:t>KS2 SATS</w:t>
            </w:r>
          </w:p>
          <w:p w14:paraId="6740F6EA" w14:textId="77777777" w:rsidR="00F775B0" w:rsidRDefault="00F775B0">
            <w:pPr>
              <w:pStyle w:val="NoSpacing"/>
              <w:rPr>
                <w:rFonts w:ascii="Century Gothic" w:hAnsi="Century Gothic"/>
                <w:b/>
                <w:bCs/>
              </w:rPr>
            </w:pPr>
            <w:r>
              <w:rPr>
                <w:rFonts w:ascii="Century Gothic" w:hAnsi="Century Gothic"/>
                <w:b/>
                <w:bCs/>
                <w:color w:val="FF0000"/>
                <w:sz w:val="22"/>
                <w:szCs w:val="22"/>
              </w:rPr>
              <w:t>(EXP+)</w:t>
            </w:r>
          </w:p>
        </w:tc>
        <w:tc>
          <w:tcPr>
            <w:tcW w:w="1185" w:type="dxa"/>
            <w:tcBorders>
              <w:top w:val="single" w:sz="18" w:space="0" w:color="auto"/>
              <w:left w:val="single" w:sz="18" w:space="0" w:color="auto"/>
              <w:bottom w:val="single" w:sz="4" w:space="0" w:color="auto"/>
              <w:right w:val="single" w:sz="4" w:space="0" w:color="auto"/>
            </w:tcBorders>
            <w:hideMark/>
          </w:tcPr>
          <w:p w14:paraId="424D4B52" w14:textId="77777777" w:rsidR="00F775B0" w:rsidRDefault="00F775B0">
            <w:pPr>
              <w:pStyle w:val="NoSpacing"/>
              <w:rPr>
                <w:rFonts w:ascii="Century Gothic" w:hAnsi="Century Gothic"/>
                <w:sz w:val="22"/>
                <w:szCs w:val="22"/>
              </w:rPr>
            </w:pPr>
            <w:r>
              <w:rPr>
                <w:rFonts w:ascii="Century Gothic" w:hAnsi="Century Gothic"/>
                <w:sz w:val="22"/>
                <w:szCs w:val="22"/>
              </w:rPr>
              <w:t>Reading</w:t>
            </w:r>
          </w:p>
        </w:tc>
        <w:tc>
          <w:tcPr>
            <w:tcW w:w="1186" w:type="dxa"/>
            <w:tcBorders>
              <w:top w:val="single" w:sz="18" w:space="0" w:color="auto"/>
              <w:left w:val="single" w:sz="4" w:space="0" w:color="auto"/>
              <w:bottom w:val="single" w:sz="4" w:space="0" w:color="auto"/>
              <w:right w:val="single" w:sz="18" w:space="0" w:color="auto"/>
            </w:tcBorders>
            <w:hideMark/>
          </w:tcPr>
          <w:p w14:paraId="2A4F5A3D" w14:textId="3E3B7951" w:rsidR="00F775B0" w:rsidRDefault="00537726">
            <w:pPr>
              <w:pStyle w:val="NoSpacing"/>
              <w:jc w:val="center"/>
              <w:rPr>
                <w:rFonts w:ascii="Century Gothic" w:hAnsi="Century Gothic"/>
                <w:sz w:val="22"/>
                <w:szCs w:val="22"/>
              </w:rPr>
            </w:pPr>
            <w:r>
              <w:rPr>
                <w:rFonts w:ascii="Century Gothic" w:hAnsi="Century Gothic"/>
                <w:sz w:val="22"/>
                <w:szCs w:val="22"/>
              </w:rPr>
              <w:t>82%</w:t>
            </w:r>
          </w:p>
        </w:tc>
        <w:tc>
          <w:tcPr>
            <w:tcW w:w="1186" w:type="dxa"/>
            <w:tcBorders>
              <w:top w:val="single" w:sz="18" w:space="0" w:color="auto"/>
              <w:left w:val="single" w:sz="18" w:space="0" w:color="auto"/>
              <w:bottom w:val="single" w:sz="4" w:space="0" w:color="auto"/>
              <w:right w:val="single" w:sz="4" w:space="0" w:color="auto"/>
            </w:tcBorders>
            <w:hideMark/>
          </w:tcPr>
          <w:p w14:paraId="41459AA5" w14:textId="77777777" w:rsidR="00F775B0" w:rsidRDefault="00F775B0">
            <w:pPr>
              <w:pStyle w:val="NoSpacing"/>
              <w:rPr>
                <w:rFonts w:ascii="Century Gothic" w:hAnsi="Century Gothic"/>
                <w:sz w:val="22"/>
                <w:szCs w:val="22"/>
              </w:rPr>
            </w:pPr>
            <w:r>
              <w:rPr>
                <w:rFonts w:ascii="Century Gothic" w:hAnsi="Century Gothic"/>
                <w:sz w:val="22"/>
                <w:szCs w:val="22"/>
              </w:rPr>
              <w:t>Reading</w:t>
            </w:r>
          </w:p>
        </w:tc>
        <w:tc>
          <w:tcPr>
            <w:tcW w:w="1186" w:type="dxa"/>
            <w:tcBorders>
              <w:top w:val="single" w:sz="18" w:space="0" w:color="auto"/>
              <w:left w:val="single" w:sz="4" w:space="0" w:color="auto"/>
              <w:bottom w:val="single" w:sz="4" w:space="0" w:color="auto"/>
              <w:right w:val="single" w:sz="18" w:space="0" w:color="auto"/>
            </w:tcBorders>
            <w:hideMark/>
          </w:tcPr>
          <w:p w14:paraId="264A8688" w14:textId="353B86D1" w:rsidR="00F775B0" w:rsidRDefault="00537726">
            <w:pPr>
              <w:pStyle w:val="NoSpacing"/>
              <w:jc w:val="center"/>
              <w:rPr>
                <w:rFonts w:ascii="Century Gothic" w:hAnsi="Century Gothic"/>
                <w:sz w:val="22"/>
                <w:szCs w:val="22"/>
              </w:rPr>
            </w:pPr>
            <w:r>
              <w:rPr>
                <w:rFonts w:ascii="Century Gothic" w:hAnsi="Century Gothic"/>
                <w:sz w:val="22"/>
                <w:szCs w:val="22"/>
              </w:rPr>
              <w:t>74%</w:t>
            </w:r>
          </w:p>
        </w:tc>
        <w:tc>
          <w:tcPr>
            <w:tcW w:w="1186" w:type="dxa"/>
            <w:tcBorders>
              <w:top w:val="single" w:sz="18" w:space="0" w:color="auto"/>
              <w:left w:val="single" w:sz="18" w:space="0" w:color="auto"/>
              <w:bottom w:val="single" w:sz="4" w:space="0" w:color="auto"/>
              <w:right w:val="single" w:sz="4" w:space="0" w:color="auto"/>
            </w:tcBorders>
            <w:hideMark/>
          </w:tcPr>
          <w:p w14:paraId="1417DA0A" w14:textId="77777777" w:rsidR="00F775B0" w:rsidRDefault="00F775B0">
            <w:pPr>
              <w:pStyle w:val="NoSpacing"/>
              <w:rPr>
                <w:rFonts w:ascii="Century Gothic" w:hAnsi="Century Gothic"/>
                <w:sz w:val="22"/>
                <w:szCs w:val="22"/>
              </w:rPr>
            </w:pPr>
            <w:r>
              <w:rPr>
                <w:rFonts w:ascii="Century Gothic" w:hAnsi="Century Gothic"/>
                <w:sz w:val="22"/>
                <w:szCs w:val="22"/>
              </w:rPr>
              <w:t>Reading</w:t>
            </w:r>
          </w:p>
        </w:tc>
        <w:tc>
          <w:tcPr>
            <w:tcW w:w="1186" w:type="dxa"/>
            <w:tcBorders>
              <w:top w:val="single" w:sz="18" w:space="0" w:color="auto"/>
              <w:left w:val="single" w:sz="4" w:space="0" w:color="auto"/>
              <w:bottom w:val="single" w:sz="4" w:space="0" w:color="auto"/>
              <w:right w:val="single" w:sz="18" w:space="0" w:color="auto"/>
            </w:tcBorders>
            <w:shd w:val="clear" w:color="auto" w:fill="FF0000"/>
            <w:hideMark/>
          </w:tcPr>
          <w:p w14:paraId="721461CF" w14:textId="174E27FE" w:rsidR="00F775B0" w:rsidRDefault="00537726">
            <w:pPr>
              <w:pStyle w:val="NoSpacing"/>
              <w:jc w:val="center"/>
              <w:rPr>
                <w:rFonts w:ascii="Century Gothic" w:hAnsi="Century Gothic"/>
                <w:sz w:val="22"/>
                <w:szCs w:val="22"/>
              </w:rPr>
            </w:pPr>
            <w:r>
              <w:rPr>
                <w:rFonts w:ascii="Century Gothic" w:hAnsi="Century Gothic"/>
                <w:sz w:val="22"/>
                <w:szCs w:val="22"/>
              </w:rPr>
              <w:t>+8%</w:t>
            </w:r>
          </w:p>
        </w:tc>
      </w:tr>
      <w:tr w:rsidR="00F775B0" w14:paraId="22E8EA65" w14:textId="77777777" w:rsidTr="00F775B0">
        <w:trPr>
          <w:trHeight w:val="69"/>
        </w:trPr>
        <w:tc>
          <w:tcPr>
            <w:tcW w:w="0" w:type="auto"/>
            <w:vMerge/>
            <w:tcBorders>
              <w:top w:val="single" w:sz="18" w:space="0" w:color="auto"/>
              <w:left w:val="single" w:sz="18" w:space="0" w:color="auto"/>
              <w:bottom w:val="single" w:sz="18" w:space="0" w:color="auto"/>
              <w:right w:val="single" w:sz="18" w:space="0" w:color="auto"/>
            </w:tcBorders>
            <w:vAlign w:val="center"/>
            <w:hideMark/>
          </w:tcPr>
          <w:p w14:paraId="7E4768D1" w14:textId="77777777" w:rsidR="00F775B0" w:rsidRDefault="00F775B0">
            <w:pPr>
              <w:suppressAutoHyphens w:val="0"/>
              <w:spacing w:after="0" w:line="240" w:lineRule="auto"/>
              <w:rPr>
                <w:rFonts w:ascii="Century Gothic" w:hAnsi="Century Gothic"/>
                <w:b/>
                <w:bCs/>
              </w:rPr>
            </w:pPr>
          </w:p>
        </w:tc>
        <w:tc>
          <w:tcPr>
            <w:tcW w:w="1185" w:type="dxa"/>
            <w:tcBorders>
              <w:top w:val="single" w:sz="4" w:space="0" w:color="auto"/>
              <w:left w:val="single" w:sz="18" w:space="0" w:color="auto"/>
              <w:bottom w:val="single" w:sz="4" w:space="0" w:color="auto"/>
              <w:right w:val="single" w:sz="4" w:space="0" w:color="auto"/>
            </w:tcBorders>
            <w:hideMark/>
          </w:tcPr>
          <w:p w14:paraId="148D0BF8" w14:textId="77777777" w:rsidR="00F775B0" w:rsidRDefault="00F775B0">
            <w:pPr>
              <w:pStyle w:val="NoSpacing"/>
              <w:rPr>
                <w:rFonts w:ascii="Century Gothic" w:hAnsi="Century Gothic"/>
                <w:sz w:val="22"/>
                <w:szCs w:val="22"/>
              </w:rPr>
            </w:pPr>
            <w:r>
              <w:rPr>
                <w:rFonts w:ascii="Century Gothic" w:hAnsi="Century Gothic"/>
                <w:sz w:val="22"/>
                <w:szCs w:val="22"/>
              </w:rPr>
              <w:t>Writing</w:t>
            </w:r>
          </w:p>
        </w:tc>
        <w:tc>
          <w:tcPr>
            <w:tcW w:w="1186" w:type="dxa"/>
            <w:tcBorders>
              <w:top w:val="single" w:sz="4" w:space="0" w:color="auto"/>
              <w:left w:val="single" w:sz="4" w:space="0" w:color="auto"/>
              <w:bottom w:val="single" w:sz="4" w:space="0" w:color="auto"/>
              <w:right w:val="single" w:sz="18" w:space="0" w:color="auto"/>
            </w:tcBorders>
            <w:hideMark/>
          </w:tcPr>
          <w:p w14:paraId="0210EE42" w14:textId="220F5B3F" w:rsidR="00F775B0" w:rsidRDefault="00537726">
            <w:pPr>
              <w:pStyle w:val="NoSpacing"/>
              <w:jc w:val="center"/>
              <w:rPr>
                <w:rFonts w:ascii="Century Gothic" w:hAnsi="Century Gothic"/>
                <w:sz w:val="22"/>
                <w:szCs w:val="22"/>
              </w:rPr>
            </w:pPr>
            <w:r>
              <w:rPr>
                <w:rFonts w:ascii="Century Gothic" w:hAnsi="Century Gothic"/>
                <w:sz w:val="22"/>
                <w:szCs w:val="22"/>
              </w:rPr>
              <w:t>50%</w:t>
            </w:r>
          </w:p>
        </w:tc>
        <w:tc>
          <w:tcPr>
            <w:tcW w:w="1186" w:type="dxa"/>
            <w:tcBorders>
              <w:top w:val="single" w:sz="4" w:space="0" w:color="auto"/>
              <w:left w:val="single" w:sz="18" w:space="0" w:color="auto"/>
              <w:bottom w:val="single" w:sz="4" w:space="0" w:color="auto"/>
              <w:right w:val="single" w:sz="4" w:space="0" w:color="auto"/>
            </w:tcBorders>
            <w:hideMark/>
          </w:tcPr>
          <w:p w14:paraId="5E910030" w14:textId="77777777" w:rsidR="00F775B0" w:rsidRDefault="00F775B0">
            <w:pPr>
              <w:pStyle w:val="NoSpacing"/>
              <w:rPr>
                <w:rFonts w:ascii="Century Gothic" w:hAnsi="Century Gothic"/>
                <w:sz w:val="22"/>
                <w:szCs w:val="22"/>
              </w:rPr>
            </w:pPr>
            <w:r>
              <w:rPr>
                <w:rFonts w:ascii="Century Gothic" w:hAnsi="Century Gothic"/>
                <w:sz w:val="22"/>
                <w:szCs w:val="22"/>
              </w:rPr>
              <w:t>Writing</w:t>
            </w:r>
          </w:p>
        </w:tc>
        <w:tc>
          <w:tcPr>
            <w:tcW w:w="1186" w:type="dxa"/>
            <w:tcBorders>
              <w:top w:val="single" w:sz="4" w:space="0" w:color="auto"/>
              <w:left w:val="single" w:sz="4" w:space="0" w:color="auto"/>
              <w:bottom w:val="single" w:sz="4" w:space="0" w:color="auto"/>
              <w:right w:val="single" w:sz="18" w:space="0" w:color="auto"/>
            </w:tcBorders>
            <w:hideMark/>
          </w:tcPr>
          <w:p w14:paraId="7BC123B4" w14:textId="36817406" w:rsidR="00F775B0" w:rsidRDefault="00537726">
            <w:pPr>
              <w:pStyle w:val="NoSpacing"/>
              <w:jc w:val="center"/>
              <w:rPr>
                <w:rFonts w:ascii="Century Gothic" w:hAnsi="Century Gothic"/>
                <w:sz w:val="22"/>
                <w:szCs w:val="22"/>
              </w:rPr>
            </w:pPr>
            <w:r>
              <w:rPr>
                <w:rFonts w:ascii="Century Gothic" w:hAnsi="Century Gothic"/>
                <w:sz w:val="22"/>
                <w:szCs w:val="22"/>
              </w:rPr>
              <w:t>69%</w:t>
            </w:r>
          </w:p>
        </w:tc>
        <w:tc>
          <w:tcPr>
            <w:tcW w:w="1186" w:type="dxa"/>
            <w:tcBorders>
              <w:top w:val="single" w:sz="4" w:space="0" w:color="auto"/>
              <w:left w:val="single" w:sz="18" w:space="0" w:color="auto"/>
              <w:bottom w:val="single" w:sz="4" w:space="0" w:color="auto"/>
              <w:right w:val="single" w:sz="4" w:space="0" w:color="auto"/>
            </w:tcBorders>
            <w:hideMark/>
          </w:tcPr>
          <w:p w14:paraId="3B83A14F" w14:textId="77777777" w:rsidR="00F775B0" w:rsidRDefault="00F775B0">
            <w:pPr>
              <w:pStyle w:val="NoSpacing"/>
              <w:rPr>
                <w:rFonts w:ascii="Century Gothic" w:hAnsi="Century Gothic"/>
                <w:sz w:val="22"/>
                <w:szCs w:val="22"/>
              </w:rPr>
            </w:pPr>
            <w:r>
              <w:rPr>
                <w:rFonts w:ascii="Century Gothic" w:hAnsi="Century Gothic"/>
                <w:sz w:val="22"/>
                <w:szCs w:val="22"/>
              </w:rPr>
              <w:t>Writing</w:t>
            </w:r>
          </w:p>
        </w:tc>
        <w:tc>
          <w:tcPr>
            <w:tcW w:w="1186" w:type="dxa"/>
            <w:tcBorders>
              <w:top w:val="single" w:sz="4" w:space="0" w:color="auto"/>
              <w:left w:val="single" w:sz="4" w:space="0" w:color="auto"/>
              <w:bottom w:val="single" w:sz="4" w:space="0" w:color="auto"/>
              <w:right w:val="single" w:sz="18" w:space="0" w:color="auto"/>
            </w:tcBorders>
            <w:shd w:val="clear" w:color="auto" w:fill="FF0000"/>
            <w:hideMark/>
          </w:tcPr>
          <w:p w14:paraId="43D02359" w14:textId="63EB6474" w:rsidR="00F775B0" w:rsidRDefault="00537726">
            <w:pPr>
              <w:pStyle w:val="NoSpacing"/>
              <w:jc w:val="center"/>
              <w:rPr>
                <w:rFonts w:ascii="Century Gothic" w:hAnsi="Century Gothic"/>
                <w:sz w:val="22"/>
                <w:szCs w:val="22"/>
              </w:rPr>
            </w:pPr>
            <w:r>
              <w:rPr>
                <w:rFonts w:ascii="Century Gothic" w:hAnsi="Century Gothic"/>
                <w:sz w:val="22"/>
                <w:szCs w:val="22"/>
              </w:rPr>
              <w:t>-19%</w:t>
            </w:r>
          </w:p>
        </w:tc>
      </w:tr>
      <w:tr w:rsidR="00F775B0" w14:paraId="2F77E067" w14:textId="77777777" w:rsidTr="00F775B0">
        <w:trPr>
          <w:trHeight w:val="69"/>
        </w:trPr>
        <w:tc>
          <w:tcPr>
            <w:tcW w:w="0" w:type="auto"/>
            <w:vMerge/>
            <w:tcBorders>
              <w:top w:val="single" w:sz="18" w:space="0" w:color="auto"/>
              <w:left w:val="single" w:sz="18" w:space="0" w:color="auto"/>
              <w:bottom w:val="single" w:sz="18" w:space="0" w:color="auto"/>
              <w:right w:val="single" w:sz="18" w:space="0" w:color="auto"/>
            </w:tcBorders>
            <w:vAlign w:val="center"/>
            <w:hideMark/>
          </w:tcPr>
          <w:p w14:paraId="5C74EF18" w14:textId="77777777" w:rsidR="00F775B0" w:rsidRDefault="00F775B0">
            <w:pPr>
              <w:suppressAutoHyphens w:val="0"/>
              <w:spacing w:after="0" w:line="240" w:lineRule="auto"/>
              <w:rPr>
                <w:rFonts w:ascii="Century Gothic" w:hAnsi="Century Gothic"/>
                <w:b/>
                <w:bCs/>
              </w:rPr>
            </w:pPr>
          </w:p>
        </w:tc>
        <w:tc>
          <w:tcPr>
            <w:tcW w:w="1185" w:type="dxa"/>
            <w:tcBorders>
              <w:top w:val="single" w:sz="4" w:space="0" w:color="auto"/>
              <w:left w:val="single" w:sz="18" w:space="0" w:color="auto"/>
              <w:bottom w:val="single" w:sz="4" w:space="0" w:color="auto"/>
              <w:right w:val="single" w:sz="4" w:space="0" w:color="auto"/>
            </w:tcBorders>
            <w:hideMark/>
          </w:tcPr>
          <w:p w14:paraId="0D0553B9" w14:textId="77777777" w:rsidR="00F775B0" w:rsidRDefault="00F775B0">
            <w:pPr>
              <w:pStyle w:val="NoSpacing"/>
              <w:rPr>
                <w:rFonts w:ascii="Century Gothic" w:hAnsi="Century Gothic"/>
                <w:sz w:val="22"/>
                <w:szCs w:val="22"/>
              </w:rPr>
            </w:pPr>
            <w:r>
              <w:rPr>
                <w:rFonts w:ascii="Century Gothic" w:hAnsi="Century Gothic"/>
                <w:sz w:val="22"/>
                <w:szCs w:val="22"/>
              </w:rPr>
              <w:t>Maths</w:t>
            </w:r>
          </w:p>
        </w:tc>
        <w:tc>
          <w:tcPr>
            <w:tcW w:w="1186" w:type="dxa"/>
            <w:tcBorders>
              <w:top w:val="single" w:sz="4" w:space="0" w:color="auto"/>
              <w:left w:val="single" w:sz="4" w:space="0" w:color="auto"/>
              <w:bottom w:val="single" w:sz="4" w:space="0" w:color="auto"/>
              <w:right w:val="single" w:sz="18" w:space="0" w:color="auto"/>
            </w:tcBorders>
            <w:hideMark/>
          </w:tcPr>
          <w:p w14:paraId="2069982E" w14:textId="4B531952" w:rsidR="00F775B0" w:rsidRDefault="00537726">
            <w:pPr>
              <w:pStyle w:val="NoSpacing"/>
              <w:jc w:val="center"/>
              <w:rPr>
                <w:rFonts w:ascii="Century Gothic" w:hAnsi="Century Gothic"/>
                <w:sz w:val="22"/>
                <w:szCs w:val="22"/>
              </w:rPr>
            </w:pPr>
            <w:r>
              <w:rPr>
                <w:rFonts w:ascii="Century Gothic" w:hAnsi="Century Gothic"/>
                <w:sz w:val="22"/>
                <w:szCs w:val="22"/>
              </w:rPr>
              <w:t>82%</w:t>
            </w:r>
          </w:p>
        </w:tc>
        <w:tc>
          <w:tcPr>
            <w:tcW w:w="1186" w:type="dxa"/>
            <w:tcBorders>
              <w:top w:val="single" w:sz="4" w:space="0" w:color="auto"/>
              <w:left w:val="single" w:sz="18" w:space="0" w:color="auto"/>
              <w:bottom w:val="single" w:sz="4" w:space="0" w:color="auto"/>
              <w:right w:val="single" w:sz="4" w:space="0" w:color="auto"/>
            </w:tcBorders>
            <w:hideMark/>
          </w:tcPr>
          <w:p w14:paraId="0DFFEA7D" w14:textId="77777777" w:rsidR="00F775B0" w:rsidRDefault="00F775B0">
            <w:pPr>
              <w:pStyle w:val="NoSpacing"/>
              <w:rPr>
                <w:rFonts w:ascii="Century Gothic" w:hAnsi="Century Gothic"/>
                <w:sz w:val="22"/>
                <w:szCs w:val="22"/>
              </w:rPr>
            </w:pPr>
            <w:r>
              <w:rPr>
                <w:rFonts w:ascii="Century Gothic" w:hAnsi="Century Gothic"/>
                <w:sz w:val="22"/>
                <w:szCs w:val="22"/>
              </w:rPr>
              <w:t>Maths</w:t>
            </w:r>
          </w:p>
        </w:tc>
        <w:tc>
          <w:tcPr>
            <w:tcW w:w="1186" w:type="dxa"/>
            <w:tcBorders>
              <w:top w:val="single" w:sz="4" w:space="0" w:color="auto"/>
              <w:left w:val="single" w:sz="4" w:space="0" w:color="auto"/>
              <w:bottom w:val="single" w:sz="4" w:space="0" w:color="auto"/>
              <w:right w:val="single" w:sz="18" w:space="0" w:color="auto"/>
            </w:tcBorders>
            <w:hideMark/>
          </w:tcPr>
          <w:p w14:paraId="2DD385B8" w14:textId="4D99D433" w:rsidR="00F775B0" w:rsidRDefault="00537726" w:rsidP="00F775B0">
            <w:pPr>
              <w:pStyle w:val="NoSpacing"/>
              <w:rPr>
                <w:rFonts w:ascii="Century Gothic" w:hAnsi="Century Gothic"/>
                <w:sz w:val="22"/>
                <w:szCs w:val="22"/>
              </w:rPr>
            </w:pPr>
            <w:r>
              <w:rPr>
                <w:rFonts w:ascii="Century Gothic" w:hAnsi="Century Gothic"/>
                <w:sz w:val="22"/>
                <w:szCs w:val="22"/>
              </w:rPr>
              <w:t>71%</w:t>
            </w:r>
          </w:p>
        </w:tc>
        <w:tc>
          <w:tcPr>
            <w:tcW w:w="1186" w:type="dxa"/>
            <w:tcBorders>
              <w:top w:val="single" w:sz="4" w:space="0" w:color="auto"/>
              <w:left w:val="single" w:sz="18" w:space="0" w:color="auto"/>
              <w:bottom w:val="single" w:sz="4" w:space="0" w:color="auto"/>
              <w:right w:val="single" w:sz="4" w:space="0" w:color="auto"/>
            </w:tcBorders>
            <w:hideMark/>
          </w:tcPr>
          <w:p w14:paraId="26BDA230" w14:textId="77777777" w:rsidR="00F775B0" w:rsidRDefault="00F775B0">
            <w:pPr>
              <w:pStyle w:val="NoSpacing"/>
              <w:rPr>
                <w:rFonts w:ascii="Century Gothic" w:hAnsi="Century Gothic"/>
                <w:sz w:val="22"/>
                <w:szCs w:val="22"/>
              </w:rPr>
            </w:pPr>
            <w:r>
              <w:rPr>
                <w:rFonts w:ascii="Century Gothic" w:hAnsi="Century Gothic"/>
                <w:sz w:val="22"/>
                <w:szCs w:val="22"/>
              </w:rPr>
              <w:t>Maths</w:t>
            </w:r>
          </w:p>
        </w:tc>
        <w:tc>
          <w:tcPr>
            <w:tcW w:w="1186" w:type="dxa"/>
            <w:tcBorders>
              <w:top w:val="single" w:sz="4" w:space="0" w:color="auto"/>
              <w:left w:val="single" w:sz="4" w:space="0" w:color="auto"/>
              <w:bottom w:val="single" w:sz="4" w:space="0" w:color="auto"/>
              <w:right w:val="single" w:sz="18" w:space="0" w:color="auto"/>
            </w:tcBorders>
            <w:shd w:val="clear" w:color="auto" w:fill="FF0000"/>
            <w:hideMark/>
          </w:tcPr>
          <w:p w14:paraId="5403C3B5" w14:textId="60FA864A" w:rsidR="00F775B0" w:rsidRDefault="00537726">
            <w:pPr>
              <w:pStyle w:val="NoSpacing"/>
              <w:jc w:val="center"/>
              <w:rPr>
                <w:rFonts w:ascii="Century Gothic" w:hAnsi="Century Gothic"/>
                <w:sz w:val="22"/>
                <w:szCs w:val="22"/>
              </w:rPr>
            </w:pPr>
            <w:r>
              <w:rPr>
                <w:rFonts w:ascii="Century Gothic" w:hAnsi="Century Gothic"/>
                <w:sz w:val="22"/>
                <w:szCs w:val="22"/>
              </w:rPr>
              <w:t>+11%</w:t>
            </w:r>
          </w:p>
        </w:tc>
      </w:tr>
      <w:tr w:rsidR="00F775B0" w14:paraId="61CE9B5C" w14:textId="77777777" w:rsidTr="00F775B0">
        <w:trPr>
          <w:trHeight w:val="69"/>
        </w:trPr>
        <w:tc>
          <w:tcPr>
            <w:tcW w:w="0" w:type="auto"/>
            <w:vMerge/>
            <w:tcBorders>
              <w:top w:val="single" w:sz="18" w:space="0" w:color="auto"/>
              <w:left w:val="single" w:sz="18" w:space="0" w:color="auto"/>
              <w:bottom w:val="single" w:sz="18" w:space="0" w:color="auto"/>
              <w:right w:val="single" w:sz="18" w:space="0" w:color="auto"/>
            </w:tcBorders>
            <w:vAlign w:val="center"/>
            <w:hideMark/>
          </w:tcPr>
          <w:p w14:paraId="24E8AD9B" w14:textId="77777777" w:rsidR="00F775B0" w:rsidRDefault="00F775B0">
            <w:pPr>
              <w:suppressAutoHyphens w:val="0"/>
              <w:spacing w:after="0" w:line="240" w:lineRule="auto"/>
              <w:rPr>
                <w:rFonts w:ascii="Century Gothic" w:hAnsi="Century Gothic"/>
                <w:b/>
                <w:bCs/>
              </w:rPr>
            </w:pPr>
          </w:p>
        </w:tc>
        <w:tc>
          <w:tcPr>
            <w:tcW w:w="1185" w:type="dxa"/>
            <w:tcBorders>
              <w:top w:val="single" w:sz="4" w:space="0" w:color="auto"/>
              <w:left w:val="single" w:sz="18" w:space="0" w:color="auto"/>
              <w:bottom w:val="single" w:sz="18" w:space="0" w:color="auto"/>
              <w:right w:val="single" w:sz="4" w:space="0" w:color="auto"/>
            </w:tcBorders>
            <w:hideMark/>
          </w:tcPr>
          <w:p w14:paraId="0D58D327" w14:textId="77777777" w:rsidR="00F775B0" w:rsidRDefault="00F775B0">
            <w:pPr>
              <w:pStyle w:val="NoSpacing"/>
              <w:rPr>
                <w:rFonts w:ascii="Century Gothic" w:hAnsi="Century Gothic"/>
                <w:sz w:val="22"/>
                <w:szCs w:val="22"/>
              </w:rPr>
            </w:pPr>
            <w:r>
              <w:rPr>
                <w:rFonts w:ascii="Century Gothic" w:hAnsi="Century Gothic"/>
                <w:sz w:val="22"/>
                <w:szCs w:val="22"/>
              </w:rPr>
              <w:t>GPS</w:t>
            </w:r>
          </w:p>
        </w:tc>
        <w:tc>
          <w:tcPr>
            <w:tcW w:w="1186" w:type="dxa"/>
            <w:tcBorders>
              <w:top w:val="single" w:sz="4" w:space="0" w:color="auto"/>
              <w:left w:val="single" w:sz="4" w:space="0" w:color="auto"/>
              <w:bottom w:val="single" w:sz="18" w:space="0" w:color="auto"/>
              <w:right w:val="single" w:sz="18" w:space="0" w:color="auto"/>
            </w:tcBorders>
            <w:hideMark/>
          </w:tcPr>
          <w:p w14:paraId="23A9295B" w14:textId="5296D0E2" w:rsidR="00F775B0" w:rsidRDefault="00537726">
            <w:pPr>
              <w:pStyle w:val="NoSpacing"/>
              <w:jc w:val="center"/>
              <w:rPr>
                <w:rFonts w:ascii="Century Gothic" w:hAnsi="Century Gothic"/>
                <w:sz w:val="22"/>
                <w:szCs w:val="22"/>
              </w:rPr>
            </w:pPr>
            <w:r>
              <w:rPr>
                <w:rFonts w:ascii="Century Gothic" w:hAnsi="Century Gothic"/>
                <w:sz w:val="22"/>
                <w:szCs w:val="22"/>
              </w:rPr>
              <w:t>82%</w:t>
            </w:r>
          </w:p>
        </w:tc>
        <w:tc>
          <w:tcPr>
            <w:tcW w:w="1186" w:type="dxa"/>
            <w:tcBorders>
              <w:top w:val="single" w:sz="4" w:space="0" w:color="auto"/>
              <w:left w:val="single" w:sz="18" w:space="0" w:color="auto"/>
              <w:bottom w:val="single" w:sz="18" w:space="0" w:color="auto"/>
              <w:right w:val="single" w:sz="4" w:space="0" w:color="auto"/>
            </w:tcBorders>
            <w:hideMark/>
          </w:tcPr>
          <w:p w14:paraId="2BA445A7" w14:textId="77777777" w:rsidR="00F775B0" w:rsidRDefault="00F775B0">
            <w:pPr>
              <w:pStyle w:val="NoSpacing"/>
              <w:rPr>
                <w:rFonts w:ascii="Century Gothic" w:hAnsi="Century Gothic"/>
                <w:sz w:val="22"/>
                <w:szCs w:val="22"/>
              </w:rPr>
            </w:pPr>
            <w:r>
              <w:rPr>
                <w:rFonts w:ascii="Century Gothic" w:hAnsi="Century Gothic"/>
                <w:sz w:val="22"/>
                <w:szCs w:val="22"/>
              </w:rPr>
              <w:t>GPS</w:t>
            </w:r>
          </w:p>
        </w:tc>
        <w:tc>
          <w:tcPr>
            <w:tcW w:w="1186" w:type="dxa"/>
            <w:tcBorders>
              <w:top w:val="single" w:sz="4" w:space="0" w:color="auto"/>
              <w:left w:val="single" w:sz="4" w:space="0" w:color="auto"/>
              <w:bottom w:val="single" w:sz="18" w:space="0" w:color="auto"/>
              <w:right w:val="single" w:sz="18" w:space="0" w:color="auto"/>
            </w:tcBorders>
            <w:hideMark/>
          </w:tcPr>
          <w:p w14:paraId="5810D6FB" w14:textId="29E206EC" w:rsidR="00F775B0" w:rsidRDefault="00537726">
            <w:pPr>
              <w:pStyle w:val="NoSpacing"/>
              <w:jc w:val="center"/>
              <w:rPr>
                <w:rFonts w:ascii="Century Gothic" w:hAnsi="Century Gothic"/>
                <w:sz w:val="22"/>
                <w:szCs w:val="22"/>
              </w:rPr>
            </w:pPr>
            <w:r>
              <w:rPr>
                <w:rFonts w:ascii="Century Gothic" w:hAnsi="Century Gothic"/>
                <w:sz w:val="22"/>
                <w:szCs w:val="22"/>
              </w:rPr>
              <w:t>72%</w:t>
            </w:r>
          </w:p>
        </w:tc>
        <w:tc>
          <w:tcPr>
            <w:tcW w:w="1186" w:type="dxa"/>
            <w:tcBorders>
              <w:top w:val="single" w:sz="4" w:space="0" w:color="auto"/>
              <w:left w:val="single" w:sz="18" w:space="0" w:color="auto"/>
              <w:bottom w:val="single" w:sz="18" w:space="0" w:color="auto"/>
              <w:right w:val="single" w:sz="4" w:space="0" w:color="auto"/>
            </w:tcBorders>
            <w:hideMark/>
          </w:tcPr>
          <w:p w14:paraId="191447AF" w14:textId="77777777" w:rsidR="00F775B0" w:rsidRDefault="00F775B0">
            <w:pPr>
              <w:pStyle w:val="NoSpacing"/>
              <w:rPr>
                <w:rFonts w:ascii="Century Gothic" w:hAnsi="Century Gothic"/>
                <w:sz w:val="22"/>
                <w:szCs w:val="22"/>
              </w:rPr>
            </w:pPr>
            <w:r>
              <w:rPr>
                <w:rFonts w:ascii="Century Gothic" w:hAnsi="Century Gothic"/>
                <w:sz w:val="22"/>
                <w:szCs w:val="22"/>
              </w:rPr>
              <w:t>GPS</w:t>
            </w:r>
          </w:p>
        </w:tc>
        <w:tc>
          <w:tcPr>
            <w:tcW w:w="1186" w:type="dxa"/>
            <w:tcBorders>
              <w:top w:val="single" w:sz="4" w:space="0" w:color="auto"/>
              <w:left w:val="single" w:sz="4" w:space="0" w:color="auto"/>
              <w:bottom w:val="single" w:sz="18" w:space="0" w:color="auto"/>
              <w:right w:val="single" w:sz="18" w:space="0" w:color="auto"/>
            </w:tcBorders>
            <w:shd w:val="clear" w:color="auto" w:fill="FF0000"/>
            <w:hideMark/>
          </w:tcPr>
          <w:p w14:paraId="3A0EB8A6" w14:textId="71555E34" w:rsidR="00F775B0" w:rsidRDefault="00537726">
            <w:pPr>
              <w:pStyle w:val="NoSpacing"/>
              <w:jc w:val="center"/>
              <w:rPr>
                <w:rFonts w:ascii="Century Gothic" w:hAnsi="Century Gothic"/>
                <w:sz w:val="22"/>
                <w:szCs w:val="22"/>
              </w:rPr>
            </w:pPr>
            <w:r>
              <w:rPr>
                <w:rFonts w:ascii="Century Gothic" w:hAnsi="Century Gothic"/>
                <w:sz w:val="22"/>
                <w:szCs w:val="22"/>
              </w:rPr>
              <w:t>+10%</w:t>
            </w:r>
          </w:p>
        </w:tc>
      </w:tr>
    </w:tbl>
    <w:p w14:paraId="4E2AF735" w14:textId="77777777" w:rsidR="00F775B0" w:rsidRDefault="00F775B0" w:rsidP="00F775B0">
      <w:pPr>
        <w:pStyle w:val="1bodycopy"/>
        <w:rPr>
          <w:rFonts w:ascii="Century Gothic" w:hAnsi="Century Gothic"/>
          <w:b/>
          <w:bCs/>
          <w:sz w:val="22"/>
          <w:szCs w:val="22"/>
          <w:u w:val="single"/>
        </w:rPr>
      </w:pPr>
      <w:r>
        <w:rPr>
          <w:rFonts w:ascii="Century Gothic" w:hAnsi="Century Gothic"/>
          <w:b/>
          <w:bCs/>
          <w:sz w:val="22"/>
          <w:szCs w:val="22"/>
          <w:u w:val="single"/>
        </w:rPr>
        <w:t>Statutory Assessment Data</w:t>
      </w:r>
    </w:p>
    <w:p w14:paraId="615A7D79" w14:textId="77777777" w:rsidR="00F775B0" w:rsidRDefault="00F775B0" w:rsidP="00F775B0">
      <w:pPr>
        <w:pStyle w:val="NoSpacing"/>
        <w:rPr>
          <w:rFonts w:ascii="Century Gothic" w:hAnsi="Century Gothic"/>
          <w:b/>
          <w:bCs/>
          <w:sz w:val="22"/>
          <w:szCs w:val="22"/>
          <w:u w:val="single"/>
          <w:lang w:eastAsia="en-US"/>
        </w:rPr>
      </w:pPr>
    </w:p>
    <w:p w14:paraId="678C8743" w14:textId="77777777" w:rsidR="00F775B0" w:rsidRDefault="00F775B0" w:rsidP="00F775B0">
      <w:pPr>
        <w:pStyle w:val="NoSpacing"/>
        <w:rPr>
          <w:rFonts w:ascii="Century Gothic" w:hAnsi="Century Gothic"/>
          <w:b/>
          <w:bCs/>
          <w:sz w:val="22"/>
          <w:szCs w:val="22"/>
          <w:u w:val="single"/>
          <w:lang w:eastAsia="en-US"/>
        </w:rPr>
      </w:pPr>
      <w:r>
        <w:rPr>
          <w:rFonts w:ascii="Century Gothic" w:hAnsi="Century Gothic"/>
          <w:b/>
          <w:bCs/>
          <w:sz w:val="22"/>
          <w:szCs w:val="22"/>
          <w:u w:val="single"/>
          <w:lang w:eastAsia="en-US"/>
        </w:rPr>
        <w:t xml:space="preserve">Diminishing Differences Report </w:t>
      </w:r>
    </w:p>
    <w:p w14:paraId="152DFC4B" w14:textId="77777777" w:rsidR="00F775B0" w:rsidRDefault="00F775B0" w:rsidP="00F775B0">
      <w:pPr>
        <w:pStyle w:val="NoSpacing"/>
        <w:rPr>
          <w:rFonts w:ascii="Century Gothic" w:hAnsi="Century Gothic"/>
          <w:b/>
          <w:bCs/>
          <w:sz w:val="22"/>
          <w:szCs w:val="22"/>
          <w:lang w:eastAsia="en-US"/>
        </w:rPr>
      </w:pPr>
    </w:p>
    <w:p w14:paraId="203492C1" w14:textId="1B1D6D66" w:rsidR="00F775B0" w:rsidRDefault="00F775B0" w:rsidP="00F775B0">
      <w:pPr>
        <w:pStyle w:val="NoSpacing"/>
        <w:rPr>
          <w:rFonts w:ascii="Century Gothic" w:hAnsi="Century Gothic"/>
          <w:sz w:val="22"/>
          <w:szCs w:val="22"/>
          <w:lang w:eastAsia="en-US"/>
        </w:rPr>
      </w:pPr>
      <w:r>
        <w:rPr>
          <w:rFonts w:ascii="Century Gothic" w:hAnsi="Century Gothic"/>
          <w:sz w:val="22"/>
          <w:szCs w:val="22"/>
          <w:lang w:eastAsia="en-US"/>
        </w:rPr>
        <w:t xml:space="preserve">The data below demonstrates the difference between disadvantaged and non-disadvantaged pupils from </w:t>
      </w:r>
      <w:r w:rsidR="00A466FF">
        <w:rPr>
          <w:rFonts w:ascii="Century Gothic" w:hAnsi="Century Gothic"/>
          <w:sz w:val="22"/>
          <w:szCs w:val="22"/>
          <w:lang w:eastAsia="en-US"/>
        </w:rPr>
        <w:t>statutory</w:t>
      </w:r>
      <w:r>
        <w:rPr>
          <w:rFonts w:ascii="Century Gothic" w:hAnsi="Century Gothic"/>
          <w:sz w:val="22"/>
          <w:szCs w:val="22"/>
          <w:lang w:eastAsia="en-US"/>
        </w:rPr>
        <w:t xml:space="preserve"> assessments in academic year 2021-22. The data demonstrates that from low starting points the disadvantaged pupils make progress to close the gap, especially evident in Reading and Writing. Additionally, the comparison across Key Stages demonstrates further that the gap closes further as the children progress through school. </w:t>
      </w:r>
    </w:p>
    <w:p w14:paraId="1BEEB0DC" w14:textId="77777777" w:rsidR="00F775B0" w:rsidRDefault="00F775B0" w:rsidP="00F775B0">
      <w:pPr>
        <w:pStyle w:val="NoSpacing"/>
        <w:rPr>
          <w:rFonts w:ascii="Century Gothic" w:hAnsi="Century Gothic"/>
          <w:b/>
          <w:bCs/>
          <w:sz w:val="22"/>
          <w:szCs w:val="22"/>
          <w:lang w:eastAsia="en-US"/>
        </w:rPr>
      </w:pPr>
    </w:p>
    <w:tbl>
      <w:tblPr>
        <w:tblStyle w:val="TableGrid"/>
        <w:tblW w:w="0" w:type="auto"/>
        <w:tblLook w:val="04A0" w:firstRow="1" w:lastRow="0" w:firstColumn="1" w:lastColumn="0" w:noHBand="0" w:noVBand="1"/>
      </w:tblPr>
      <w:tblGrid>
        <w:gridCol w:w="3162"/>
        <w:gridCol w:w="3162"/>
        <w:gridCol w:w="3162"/>
      </w:tblGrid>
      <w:tr w:rsidR="00F775B0" w14:paraId="71B3E737"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FFC000"/>
            <w:hideMark/>
          </w:tcPr>
          <w:p w14:paraId="2F03AAFC" w14:textId="77777777" w:rsidR="00F775B0" w:rsidRDefault="00F775B0">
            <w:pPr>
              <w:pStyle w:val="NoSpacing"/>
              <w:jc w:val="center"/>
              <w:rPr>
                <w:rFonts w:ascii="Century Gothic" w:hAnsi="Century Gothic"/>
                <w:b/>
                <w:bCs/>
                <w:sz w:val="22"/>
                <w:szCs w:val="22"/>
                <w:lang w:eastAsia="en-US"/>
              </w:rPr>
            </w:pPr>
            <w:r>
              <w:rPr>
                <w:rFonts w:ascii="Century Gothic" w:hAnsi="Century Gothic"/>
                <w:b/>
                <w:bCs/>
                <w:sz w:val="28"/>
                <w:szCs w:val="28"/>
                <w:lang w:eastAsia="en-US"/>
              </w:rPr>
              <w:t>GLD</w:t>
            </w:r>
          </w:p>
        </w:tc>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C34ED4"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Summer 21-22</w:t>
            </w:r>
          </w:p>
        </w:tc>
      </w:tr>
      <w:tr w:rsidR="00F775B0" w14:paraId="623C16F9"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BA1EC5"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Non disadvantaged </w:t>
            </w:r>
          </w:p>
        </w:tc>
        <w:tc>
          <w:tcPr>
            <w:tcW w:w="3162" w:type="dxa"/>
            <w:tcBorders>
              <w:top w:val="single" w:sz="4" w:space="0" w:color="auto"/>
              <w:left w:val="single" w:sz="4" w:space="0" w:color="auto"/>
              <w:bottom w:val="single" w:sz="4" w:space="0" w:color="auto"/>
              <w:right w:val="single" w:sz="4" w:space="0" w:color="auto"/>
            </w:tcBorders>
            <w:hideMark/>
          </w:tcPr>
          <w:p w14:paraId="083B33BA" w14:textId="2CF62E6A"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75%</w:t>
            </w:r>
          </w:p>
        </w:tc>
      </w:tr>
      <w:tr w:rsidR="00F775B0" w14:paraId="599DE85D" w14:textId="77777777" w:rsidTr="00F775B0">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4A3556"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Disadvantaged </w:t>
            </w:r>
          </w:p>
        </w:tc>
        <w:tc>
          <w:tcPr>
            <w:tcW w:w="3162" w:type="dxa"/>
            <w:tcBorders>
              <w:top w:val="single" w:sz="4" w:space="0" w:color="auto"/>
              <w:left w:val="single" w:sz="4" w:space="0" w:color="auto"/>
              <w:bottom w:val="single" w:sz="4" w:space="0" w:color="auto"/>
              <w:right w:val="single" w:sz="4" w:space="0" w:color="auto"/>
            </w:tcBorders>
            <w:hideMark/>
          </w:tcPr>
          <w:p w14:paraId="57ECE6C7" w14:textId="15B2E907"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33%</w:t>
            </w:r>
          </w:p>
        </w:tc>
        <w:tc>
          <w:tcPr>
            <w:tcW w:w="3162" w:type="dxa"/>
            <w:tcBorders>
              <w:top w:val="single" w:sz="4" w:space="0" w:color="auto"/>
              <w:left w:val="single" w:sz="4" w:space="0" w:color="auto"/>
              <w:bottom w:val="single" w:sz="4" w:space="0" w:color="auto"/>
              <w:right w:val="single" w:sz="4" w:space="0" w:color="auto"/>
            </w:tcBorders>
            <w:shd w:val="clear" w:color="auto" w:fill="00B050"/>
            <w:hideMark/>
          </w:tcPr>
          <w:p w14:paraId="365E4586" w14:textId="70AB3B3E"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-42%</w:t>
            </w:r>
          </w:p>
        </w:tc>
      </w:tr>
    </w:tbl>
    <w:p w14:paraId="19E82AF4" w14:textId="77777777" w:rsidR="00F775B0" w:rsidRDefault="00F775B0" w:rsidP="00F775B0">
      <w:pPr>
        <w:pStyle w:val="NoSpacing"/>
        <w:rPr>
          <w:rFonts w:ascii="Century Gothic" w:hAnsi="Century Gothic"/>
          <w:sz w:val="22"/>
          <w:szCs w:val="22"/>
          <w:lang w:eastAsia="en-US"/>
        </w:rPr>
      </w:pPr>
    </w:p>
    <w:p w14:paraId="7AC48D15" w14:textId="7B0ADF0F" w:rsidR="00F775B0" w:rsidRDefault="00F775B0" w:rsidP="00F775B0">
      <w:pPr>
        <w:pStyle w:val="NoSpacing"/>
        <w:rPr>
          <w:rFonts w:ascii="Century Gothic" w:hAnsi="Century Gothic"/>
          <w:sz w:val="22"/>
          <w:szCs w:val="22"/>
          <w:lang w:eastAsia="en-US"/>
        </w:rPr>
      </w:pPr>
      <w:r>
        <w:rPr>
          <w:rFonts w:ascii="Century Gothic" w:hAnsi="Century Gothic"/>
          <w:sz w:val="22"/>
          <w:szCs w:val="22"/>
          <w:lang w:eastAsia="en-US"/>
        </w:rPr>
        <w:t xml:space="preserve">As demonstrated from this data, barriers explained in this strategy state that pupils begin their education at St </w:t>
      </w:r>
      <w:r w:rsidR="003D614A">
        <w:rPr>
          <w:rFonts w:ascii="Century Gothic" w:hAnsi="Century Gothic"/>
          <w:sz w:val="22"/>
          <w:szCs w:val="22"/>
          <w:lang w:eastAsia="en-US"/>
        </w:rPr>
        <w:t>Paul`s</w:t>
      </w:r>
      <w:r>
        <w:rPr>
          <w:rFonts w:ascii="Century Gothic" w:hAnsi="Century Gothic"/>
          <w:sz w:val="22"/>
          <w:szCs w:val="22"/>
          <w:lang w:eastAsia="en-US"/>
        </w:rPr>
        <w:t xml:space="preserve"> with significantly low starting points and the school works to narrow and diminish these gaps across KS1 and KS2.  </w:t>
      </w:r>
    </w:p>
    <w:p w14:paraId="6165528B" w14:textId="77777777" w:rsidR="00F775B0" w:rsidRDefault="00F775B0" w:rsidP="00F775B0">
      <w:pPr>
        <w:pStyle w:val="NoSpacing"/>
        <w:rPr>
          <w:rFonts w:ascii="Century Gothic" w:hAnsi="Century Gothic"/>
          <w:sz w:val="22"/>
          <w:szCs w:val="22"/>
          <w:lang w:eastAsia="en-US"/>
        </w:rPr>
      </w:pPr>
    </w:p>
    <w:tbl>
      <w:tblPr>
        <w:tblStyle w:val="TableGrid"/>
        <w:tblW w:w="0" w:type="auto"/>
        <w:tblLook w:val="04A0" w:firstRow="1" w:lastRow="0" w:firstColumn="1" w:lastColumn="0" w:noHBand="0" w:noVBand="1"/>
      </w:tblPr>
      <w:tblGrid>
        <w:gridCol w:w="3162"/>
        <w:gridCol w:w="3162"/>
        <w:gridCol w:w="3162"/>
      </w:tblGrid>
      <w:tr w:rsidR="00F775B0" w14:paraId="66308665"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71C7857" w14:textId="77777777" w:rsidR="00F775B0" w:rsidRDefault="00F775B0">
            <w:pPr>
              <w:pStyle w:val="NoSpacing"/>
              <w:jc w:val="center"/>
              <w:rPr>
                <w:rFonts w:ascii="Century Gothic" w:hAnsi="Century Gothic"/>
                <w:b/>
                <w:bCs/>
                <w:sz w:val="22"/>
                <w:szCs w:val="22"/>
                <w:lang w:eastAsia="en-US"/>
              </w:rPr>
            </w:pPr>
            <w:r>
              <w:rPr>
                <w:rFonts w:ascii="Century Gothic" w:hAnsi="Century Gothic"/>
                <w:b/>
                <w:bCs/>
                <w:sz w:val="28"/>
                <w:szCs w:val="28"/>
                <w:lang w:eastAsia="en-US"/>
              </w:rPr>
              <w:t>Y1 Phonics</w:t>
            </w:r>
          </w:p>
        </w:tc>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414CE9"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Summer 21-22</w:t>
            </w:r>
          </w:p>
        </w:tc>
      </w:tr>
      <w:tr w:rsidR="00F775B0" w14:paraId="7B8A84B2"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A0C547"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Non disadvantaged </w:t>
            </w:r>
          </w:p>
        </w:tc>
        <w:tc>
          <w:tcPr>
            <w:tcW w:w="3162" w:type="dxa"/>
            <w:tcBorders>
              <w:top w:val="single" w:sz="4" w:space="0" w:color="auto"/>
              <w:left w:val="single" w:sz="4" w:space="0" w:color="auto"/>
              <w:bottom w:val="single" w:sz="4" w:space="0" w:color="auto"/>
              <w:right w:val="single" w:sz="4" w:space="0" w:color="auto"/>
            </w:tcBorders>
            <w:hideMark/>
          </w:tcPr>
          <w:p w14:paraId="28BD26E9" w14:textId="2715A821"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59%</w:t>
            </w:r>
          </w:p>
        </w:tc>
      </w:tr>
      <w:tr w:rsidR="00F775B0" w14:paraId="03D7D1D3" w14:textId="77777777" w:rsidTr="00F775B0">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118885"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Disadvantaged </w:t>
            </w:r>
          </w:p>
        </w:tc>
        <w:tc>
          <w:tcPr>
            <w:tcW w:w="3162" w:type="dxa"/>
            <w:tcBorders>
              <w:top w:val="single" w:sz="4" w:space="0" w:color="auto"/>
              <w:left w:val="single" w:sz="4" w:space="0" w:color="auto"/>
              <w:bottom w:val="single" w:sz="4" w:space="0" w:color="auto"/>
              <w:right w:val="single" w:sz="4" w:space="0" w:color="auto"/>
            </w:tcBorders>
            <w:hideMark/>
          </w:tcPr>
          <w:p w14:paraId="17AF0081" w14:textId="17F11329"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14%</w:t>
            </w:r>
          </w:p>
        </w:tc>
        <w:tc>
          <w:tcPr>
            <w:tcW w:w="3162" w:type="dxa"/>
            <w:tcBorders>
              <w:top w:val="single" w:sz="4" w:space="0" w:color="auto"/>
              <w:left w:val="single" w:sz="4" w:space="0" w:color="auto"/>
              <w:bottom w:val="single" w:sz="4" w:space="0" w:color="auto"/>
              <w:right w:val="single" w:sz="4" w:space="0" w:color="auto"/>
            </w:tcBorders>
            <w:shd w:val="clear" w:color="auto" w:fill="00B050"/>
            <w:hideMark/>
          </w:tcPr>
          <w:p w14:paraId="2FB31275" w14:textId="3049FD15"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-45%</w:t>
            </w:r>
          </w:p>
        </w:tc>
      </w:tr>
    </w:tbl>
    <w:p w14:paraId="09992B6D" w14:textId="77777777" w:rsidR="00F775B0" w:rsidRDefault="00F775B0" w:rsidP="00F775B0">
      <w:pPr>
        <w:pStyle w:val="NoSpacing"/>
        <w:rPr>
          <w:rFonts w:ascii="Century Gothic" w:hAnsi="Century Gothic"/>
          <w:sz w:val="22"/>
          <w:szCs w:val="22"/>
          <w:lang w:eastAsia="en-US"/>
        </w:rPr>
      </w:pPr>
    </w:p>
    <w:p w14:paraId="5423A8AC" w14:textId="77777777" w:rsidR="00F775B0" w:rsidRDefault="00F775B0" w:rsidP="00F775B0">
      <w:pPr>
        <w:pStyle w:val="NoSpacing"/>
        <w:rPr>
          <w:rFonts w:ascii="Century Gothic" w:hAnsi="Century Gothic"/>
          <w:sz w:val="22"/>
          <w:szCs w:val="22"/>
          <w:lang w:eastAsia="en-US"/>
        </w:rPr>
      </w:pPr>
    </w:p>
    <w:tbl>
      <w:tblPr>
        <w:tblStyle w:val="TableGrid"/>
        <w:tblW w:w="0" w:type="auto"/>
        <w:tblLook w:val="04A0" w:firstRow="1" w:lastRow="0" w:firstColumn="1" w:lastColumn="0" w:noHBand="0" w:noVBand="1"/>
      </w:tblPr>
      <w:tblGrid>
        <w:gridCol w:w="3162"/>
        <w:gridCol w:w="3162"/>
        <w:gridCol w:w="3162"/>
      </w:tblGrid>
      <w:tr w:rsidR="00F775B0" w14:paraId="5C39DDAB"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70AB189" w14:textId="77777777" w:rsidR="00F775B0" w:rsidRDefault="00F775B0">
            <w:pPr>
              <w:pStyle w:val="NoSpacing"/>
              <w:jc w:val="center"/>
              <w:rPr>
                <w:rFonts w:ascii="Century Gothic" w:hAnsi="Century Gothic"/>
                <w:b/>
                <w:bCs/>
                <w:sz w:val="22"/>
                <w:szCs w:val="22"/>
                <w:lang w:eastAsia="en-US"/>
              </w:rPr>
            </w:pPr>
            <w:r>
              <w:rPr>
                <w:rFonts w:ascii="Century Gothic" w:hAnsi="Century Gothic"/>
                <w:b/>
                <w:bCs/>
                <w:sz w:val="28"/>
                <w:szCs w:val="28"/>
                <w:lang w:eastAsia="en-US"/>
              </w:rPr>
              <w:t>Y2 Phonics</w:t>
            </w:r>
          </w:p>
        </w:tc>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49D9EA"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Summer 21-22</w:t>
            </w:r>
          </w:p>
        </w:tc>
      </w:tr>
      <w:tr w:rsidR="00F775B0" w14:paraId="1BF59D6F"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F9C61C"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Non disadvantaged </w:t>
            </w:r>
          </w:p>
        </w:tc>
        <w:tc>
          <w:tcPr>
            <w:tcW w:w="3162" w:type="dxa"/>
            <w:tcBorders>
              <w:top w:val="single" w:sz="4" w:space="0" w:color="auto"/>
              <w:left w:val="single" w:sz="4" w:space="0" w:color="auto"/>
              <w:bottom w:val="single" w:sz="4" w:space="0" w:color="auto"/>
              <w:right w:val="single" w:sz="4" w:space="0" w:color="auto"/>
            </w:tcBorders>
            <w:hideMark/>
          </w:tcPr>
          <w:p w14:paraId="3331E39C" w14:textId="1BEB5DCE"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95%</w:t>
            </w:r>
          </w:p>
        </w:tc>
      </w:tr>
      <w:tr w:rsidR="00F775B0" w14:paraId="17D478C2" w14:textId="77777777" w:rsidTr="00F775B0">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562EC"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Disadvantaged </w:t>
            </w:r>
          </w:p>
        </w:tc>
        <w:tc>
          <w:tcPr>
            <w:tcW w:w="3162" w:type="dxa"/>
            <w:tcBorders>
              <w:top w:val="single" w:sz="4" w:space="0" w:color="auto"/>
              <w:left w:val="single" w:sz="4" w:space="0" w:color="auto"/>
              <w:bottom w:val="single" w:sz="4" w:space="0" w:color="auto"/>
              <w:right w:val="single" w:sz="4" w:space="0" w:color="auto"/>
            </w:tcBorders>
            <w:hideMark/>
          </w:tcPr>
          <w:p w14:paraId="3BD0C908" w14:textId="5E00DA50"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63%</w:t>
            </w:r>
          </w:p>
        </w:tc>
        <w:tc>
          <w:tcPr>
            <w:tcW w:w="3162" w:type="dxa"/>
            <w:tcBorders>
              <w:top w:val="single" w:sz="4" w:space="0" w:color="auto"/>
              <w:left w:val="single" w:sz="4" w:space="0" w:color="auto"/>
              <w:bottom w:val="single" w:sz="4" w:space="0" w:color="auto"/>
              <w:right w:val="single" w:sz="4" w:space="0" w:color="auto"/>
            </w:tcBorders>
            <w:shd w:val="clear" w:color="auto" w:fill="00B050"/>
            <w:hideMark/>
          </w:tcPr>
          <w:p w14:paraId="53BD14D1" w14:textId="3917B1C5"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-32%</w:t>
            </w:r>
          </w:p>
        </w:tc>
      </w:tr>
    </w:tbl>
    <w:p w14:paraId="4D29745B" w14:textId="77777777" w:rsidR="00F775B0" w:rsidRDefault="00F775B0" w:rsidP="00F775B0">
      <w:pPr>
        <w:pStyle w:val="NoSpacing"/>
        <w:rPr>
          <w:rFonts w:ascii="Century Gothic" w:hAnsi="Century Gothic"/>
          <w:sz w:val="22"/>
          <w:szCs w:val="22"/>
          <w:lang w:eastAsia="en-US"/>
        </w:rPr>
      </w:pPr>
    </w:p>
    <w:tbl>
      <w:tblPr>
        <w:tblStyle w:val="TableGrid"/>
        <w:tblW w:w="0" w:type="auto"/>
        <w:tblLook w:val="04A0" w:firstRow="1" w:lastRow="0" w:firstColumn="1" w:lastColumn="0" w:noHBand="0" w:noVBand="1"/>
      </w:tblPr>
      <w:tblGrid>
        <w:gridCol w:w="3162"/>
        <w:gridCol w:w="3162"/>
        <w:gridCol w:w="3162"/>
      </w:tblGrid>
      <w:tr w:rsidR="00F775B0" w14:paraId="63A05DFE"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A61A4A5" w14:textId="77777777" w:rsidR="00F775B0" w:rsidRDefault="00F775B0">
            <w:pPr>
              <w:pStyle w:val="NoSpacing"/>
              <w:jc w:val="center"/>
              <w:rPr>
                <w:rFonts w:ascii="Century Gothic" w:hAnsi="Century Gothic"/>
                <w:b/>
                <w:bCs/>
                <w:sz w:val="22"/>
                <w:szCs w:val="22"/>
                <w:lang w:eastAsia="en-US"/>
              </w:rPr>
            </w:pPr>
            <w:r>
              <w:rPr>
                <w:rFonts w:ascii="Century Gothic" w:hAnsi="Century Gothic"/>
                <w:b/>
                <w:bCs/>
                <w:sz w:val="28"/>
                <w:szCs w:val="28"/>
                <w:lang w:eastAsia="en-US"/>
              </w:rPr>
              <w:t>KS1 Reading</w:t>
            </w:r>
          </w:p>
        </w:tc>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F622C3"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Summer 21-22</w:t>
            </w:r>
          </w:p>
        </w:tc>
      </w:tr>
      <w:tr w:rsidR="00F775B0" w14:paraId="5233E341"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42BA3C"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Non disadvantaged </w:t>
            </w:r>
          </w:p>
        </w:tc>
        <w:tc>
          <w:tcPr>
            <w:tcW w:w="3162" w:type="dxa"/>
            <w:tcBorders>
              <w:top w:val="single" w:sz="4" w:space="0" w:color="auto"/>
              <w:left w:val="single" w:sz="4" w:space="0" w:color="auto"/>
              <w:bottom w:val="single" w:sz="4" w:space="0" w:color="auto"/>
              <w:right w:val="single" w:sz="4" w:space="0" w:color="auto"/>
            </w:tcBorders>
            <w:hideMark/>
          </w:tcPr>
          <w:p w14:paraId="0CEF44ED" w14:textId="24C4F93D"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63%</w:t>
            </w:r>
          </w:p>
        </w:tc>
      </w:tr>
      <w:tr w:rsidR="00F775B0" w14:paraId="44A264C0" w14:textId="77777777" w:rsidTr="00F775B0">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2266E"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Disadvantaged </w:t>
            </w:r>
          </w:p>
        </w:tc>
        <w:tc>
          <w:tcPr>
            <w:tcW w:w="3162" w:type="dxa"/>
            <w:tcBorders>
              <w:top w:val="single" w:sz="4" w:space="0" w:color="auto"/>
              <w:left w:val="single" w:sz="4" w:space="0" w:color="auto"/>
              <w:bottom w:val="single" w:sz="4" w:space="0" w:color="auto"/>
              <w:right w:val="single" w:sz="4" w:space="0" w:color="auto"/>
            </w:tcBorders>
            <w:hideMark/>
          </w:tcPr>
          <w:p w14:paraId="06A9206F" w14:textId="0263FCC6"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25%</w:t>
            </w:r>
          </w:p>
        </w:tc>
        <w:tc>
          <w:tcPr>
            <w:tcW w:w="3162" w:type="dxa"/>
            <w:tcBorders>
              <w:top w:val="single" w:sz="4" w:space="0" w:color="auto"/>
              <w:left w:val="single" w:sz="4" w:space="0" w:color="auto"/>
              <w:bottom w:val="single" w:sz="4" w:space="0" w:color="auto"/>
              <w:right w:val="single" w:sz="4" w:space="0" w:color="auto"/>
            </w:tcBorders>
            <w:shd w:val="clear" w:color="auto" w:fill="00B050"/>
            <w:hideMark/>
          </w:tcPr>
          <w:p w14:paraId="214DE6F7" w14:textId="7A5B589D"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-38%</w:t>
            </w:r>
          </w:p>
        </w:tc>
      </w:tr>
    </w:tbl>
    <w:p w14:paraId="24FFFD7B" w14:textId="77777777" w:rsidR="00F775B0" w:rsidRDefault="00F775B0" w:rsidP="00F775B0"/>
    <w:tbl>
      <w:tblPr>
        <w:tblStyle w:val="TableGrid"/>
        <w:tblW w:w="0" w:type="auto"/>
        <w:tblLook w:val="04A0" w:firstRow="1" w:lastRow="0" w:firstColumn="1" w:lastColumn="0" w:noHBand="0" w:noVBand="1"/>
      </w:tblPr>
      <w:tblGrid>
        <w:gridCol w:w="3162"/>
        <w:gridCol w:w="3162"/>
        <w:gridCol w:w="3162"/>
      </w:tblGrid>
      <w:tr w:rsidR="00F775B0" w14:paraId="12495051"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BAC2876" w14:textId="77777777" w:rsidR="00F775B0" w:rsidRDefault="00F775B0">
            <w:pPr>
              <w:pStyle w:val="NoSpacing"/>
              <w:jc w:val="center"/>
              <w:rPr>
                <w:rFonts w:ascii="Century Gothic" w:hAnsi="Century Gothic"/>
                <w:b/>
                <w:bCs/>
                <w:sz w:val="22"/>
                <w:szCs w:val="22"/>
                <w:lang w:eastAsia="en-US"/>
              </w:rPr>
            </w:pPr>
            <w:r>
              <w:rPr>
                <w:rFonts w:ascii="Century Gothic" w:hAnsi="Century Gothic"/>
                <w:b/>
                <w:bCs/>
                <w:sz w:val="28"/>
                <w:szCs w:val="28"/>
                <w:lang w:eastAsia="en-US"/>
              </w:rPr>
              <w:t>KS1 Writing</w:t>
            </w:r>
          </w:p>
        </w:tc>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98E2FF"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Summer 21-22</w:t>
            </w:r>
          </w:p>
        </w:tc>
      </w:tr>
      <w:tr w:rsidR="00F775B0" w14:paraId="16E29662"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9AFAAF"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Non disadvantaged </w:t>
            </w:r>
          </w:p>
        </w:tc>
        <w:tc>
          <w:tcPr>
            <w:tcW w:w="3162" w:type="dxa"/>
            <w:tcBorders>
              <w:top w:val="single" w:sz="4" w:space="0" w:color="auto"/>
              <w:left w:val="single" w:sz="4" w:space="0" w:color="auto"/>
              <w:bottom w:val="single" w:sz="4" w:space="0" w:color="auto"/>
              <w:right w:val="single" w:sz="4" w:space="0" w:color="auto"/>
            </w:tcBorders>
            <w:hideMark/>
          </w:tcPr>
          <w:p w14:paraId="518FDB72" w14:textId="0D9F12B4"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47%</w:t>
            </w:r>
          </w:p>
        </w:tc>
      </w:tr>
      <w:tr w:rsidR="00F775B0" w14:paraId="46F86D95" w14:textId="77777777" w:rsidTr="00F775B0">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AFEBA5"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Disadvantaged </w:t>
            </w:r>
          </w:p>
        </w:tc>
        <w:tc>
          <w:tcPr>
            <w:tcW w:w="3162" w:type="dxa"/>
            <w:tcBorders>
              <w:top w:val="single" w:sz="4" w:space="0" w:color="auto"/>
              <w:left w:val="single" w:sz="4" w:space="0" w:color="auto"/>
              <w:bottom w:val="single" w:sz="4" w:space="0" w:color="auto"/>
              <w:right w:val="single" w:sz="4" w:space="0" w:color="auto"/>
            </w:tcBorders>
            <w:hideMark/>
          </w:tcPr>
          <w:p w14:paraId="30EFDBB4" w14:textId="6C62D36A" w:rsidR="00F775B0" w:rsidRDefault="00537726" w:rsidP="00537726">
            <w:pPr>
              <w:pStyle w:val="NoSpacing"/>
              <w:rPr>
                <w:rFonts w:ascii="Century Gothic" w:hAnsi="Century Gothic"/>
                <w:sz w:val="22"/>
                <w:szCs w:val="22"/>
                <w:lang w:eastAsia="en-US"/>
              </w:rPr>
            </w:pPr>
            <w:r>
              <w:rPr>
                <w:rFonts w:ascii="Century Gothic" w:hAnsi="Century Gothic"/>
                <w:sz w:val="22"/>
                <w:szCs w:val="22"/>
                <w:lang w:eastAsia="en-US"/>
              </w:rPr>
              <w:t>0%</w:t>
            </w:r>
          </w:p>
        </w:tc>
        <w:tc>
          <w:tcPr>
            <w:tcW w:w="3162" w:type="dxa"/>
            <w:tcBorders>
              <w:top w:val="single" w:sz="4" w:space="0" w:color="auto"/>
              <w:left w:val="single" w:sz="4" w:space="0" w:color="auto"/>
              <w:bottom w:val="single" w:sz="4" w:space="0" w:color="auto"/>
              <w:right w:val="single" w:sz="4" w:space="0" w:color="auto"/>
            </w:tcBorders>
            <w:shd w:val="clear" w:color="auto" w:fill="00B050"/>
            <w:hideMark/>
          </w:tcPr>
          <w:p w14:paraId="7CCC5C28" w14:textId="362CEF5B"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-47%</w:t>
            </w:r>
          </w:p>
        </w:tc>
      </w:tr>
    </w:tbl>
    <w:p w14:paraId="4390BB21" w14:textId="77777777" w:rsidR="00F775B0" w:rsidRDefault="00F775B0" w:rsidP="00F775B0"/>
    <w:tbl>
      <w:tblPr>
        <w:tblStyle w:val="TableGrid"/>
        <w:tblW w:w="0" w:type="auto"/>
        <w:tblLook w:val="04A0" w:firstRow="1" w:lastRow="0" w:firstColumn="1" w:lastColumn="0" w:noHBand="0" w:noVBand="1"/>
      </w:tblPr>
      <w:tblGrid>
        <w:gridCol w:w="3162"/>
        <w:gridCol w:w="3162"/>
        <w:gridCol w:w="3162"/>
      </w:tblGrid>
      <w:tr w:rsidR="00F775B0" w14:paraId="58C15E68"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267BE34" w14:textId="77777777" w:rsidR="00F775B0" w:rsidRDefault="00F775B0">
            <w:pPr>
              <w:pStyle w:val="NoSpacing"/>
              <w:jc w:val="center"/>
              <w:rPr>
                <w:rFonts w:ascii="Century Gothic" w:hAnsi="Century Gothic"/>
                <w:b/>
                <w:bCs/>
                <w:sz w:val="22"/>
                <w:szCs w:val="22"/>
                <w:lang w:eastAsia="en-US"/>
              </w:rPr>
            </w:pPr>
            <w:r>
              <w:rPr>
                <w:rFonts w:ascii="Century Gothic" w:hAnsi="Century Gothic"/>
                <w:b/>
                <w:bCs/>
                <w:sz w:val="28"/>
                <w:szCs w:val="28"/>
                <w:lang w:eastAsia="en-US"/>
              </w:rPr>
              <w:t>KS1  Maths</w:t>
            </w:r>
          </w:p>
        </w:tc>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F882DF"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Summer 21-22</w:t>
            </w:r>
          </w:p>
        </w:tc>
      </w:tr>
      <w:tr w:rsidR="00F775B0" w14:paraId="70612A45"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4F9ADF"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Non disadvantaged </w:t>
            </w:r>
          </w:p>
        </w:tc>
        <w:tc>
          <w:tcPr>
            <w:tcW w:w="3162" w:type="dxa"/>
            <w:tcBorders>
              <w:top w:val="single" w:sz="4" w:space="0" w:color="auto"/>
              <w:left w:val="single" w:sz="4" w:space="0" w:color="auto"/>
              <w:bottom w:val="single" w:sz="4" w:space="0" w:color="auto"/>
              <w:right w:val="single" w:sz="4" w:space="0" w:color="auto"/>
            </w:tcBorders>
            <w:hideMark/>
          </w:tcPr>
          <w:p w14:paraId="41F508D8" w14:textId="68E29CDF"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68%</w:t>
            </w:r>
          </w:p>
        </w:tc>
      </w:tr>
      <w:tr w:rsidR="00F775B0" w14:paraId="6CD5C629" w14:textId="77777777" w:rsidTr="00F775B0">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9F972B"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Disadvantaged </w:t>
            </w:r>
          </w:p>
        </w:tc>
        <w:tc>
          <w:tcPr>
            <w:tcW w:w="3162" w:type="dxa"/>
            <w:tcBorders>
              <w:top w:val="single" w:sz="4" w:space="0" w:color="auto"/>
              <w:left w:val="single" w:sz="4" w:space="0" w:color="auto"/>
              <w:bottom w:val="single" w:sz="4" w:space="0" w:color="auto"/>
              <w:right w:val="single" w:sz="4" w:space="0" w:color="auto"/>
            </w:tcBorders>
            <w:hideMark/>
          </w:tcPr>
          <w:p w14:paraId="3777416F" w14:textId="6734C9F2"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25%</w:t>
            </w:r>
          </w:p>
        </w:tc>
        <w:tc>
          <w:tcPr>
            <w:tcW w:w="3162" w:type="dxa"/>
            <w:tcBorders>
              <w:top w:val="single" w:sz="4" w:space="0" w:color="auto"/>
              <w:left w:val="single" w:sz="4" w:space="0" w:color="auto"/>
              <w:bottom w:val="single" w:sz="4" w:space="0" w:color="auto"/>
              <w:right w:val="single" w:sz="4" w:space="0" w:color="auto"/>
            </w:tcBorders>
            <w:shd w:val="clear" w:color="auto" w:fill="00B050"/>
            <w:hideMark/>
          </w:tcPr>
          <w:p w14:paraId="75161FFB" w14:textId="43CED69B"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-43%</w:t>
            </w:r>
          </w:p>
        </w:tc>
      </w:tr>
    </w:tbl>
    <w:p w14:paraId="601FF4F9" w14:textId="77777777" w:rsidR="00F775B0" w:rsidRDefault="00F775B0" w:rsidP="00F775B0"/>
    <w:tbl>
      <w:tblPr>
        <w:tblStyle w:val="TableGrid"/>
        <w:tblW w:w="0" w:type="auto"/>
        <w:tblLook w:val="04A0" w:firstRow="1" w:lastRow="0" w:firstColumn="1" w:lastColumn="0" w:noHBand="0" w:noVBand="1"/>
      </w:tblPr>
      <w:tblGrid>
        <w:gridCol w:w="3162"/>
        <w:gridCol w:w="3162"/>
        <w:gridCol w:w="3162"/>
      </w:tblGrid>
      <w:tr w:rsidR="00F775B0" w14:paraId="6FC49B77"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14:paraId="4505EBD1" w14:textId="77777777" w:rsidR="00F775B0" w:rsidRDefault="00F775B0">
            <w:pPr>
              <w:pStyle w:val="NoSpacing"/>
              <w:jc w:val="center"/>
              <w:rPr>
                <w:rFonts w:ascii="Century Gothic" w:hAnsi="Century Gothic"/>
                <w:b/>
                <w:bCs/>
                <w:sz w:val="22"/>
                <w:szCs w:val="22"/>
                <w:lang w:eastAsia="en-US"/>
              </w:rPr>
            </w:pPr>
            <w:r>
              <w:rPr>
                <w:rFonts w:ascii="Century Gothic" w:hAnsi="Century Gothic"/>
                <w:b/>
                <w:bCs/>
                <w:sz w:val="28"/>
                <w:szCs w:val="28"/>
                <w:lang w:eastAsia="en-US"/>
              </w:rPr>
              <w:t>KS2 Reading</w:t>
            </w:r>
          </w:p>
        </w:tc>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349855"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Summer 21-22</w:t>
            </w:r>
          </w:p>
        </w:tc>
      </w:tr>
      <w:tr w:rsidR="00F775B0" w14:paraId="784C7A3D"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8D12F9"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Non disadvantaged </w:t>
            </w:r>
          </w:p>
        </w:tc>
        <w:tc>
          <w:tcPr>
            <w:tcW w:w="3162" w:type="dxa"/>
            <w:tcBorders>
              <w:top w:val="single" w:sz="4" w:space="0" w:color="auto"/>
              <w:left w:val="single" w:sz="4" w:space="0" w:color="auto"/>
              <w:bottom w:val="single" w:sz="4" w:space="0" w:color="auto"/>
              <w:right w:val="single" w:sz="4" w:space="0" w:color="auto"/>
            </w:tcBorders>
            <w:hideMark/>
          </w:tcPr>
          <w:p w14:paraId="131DC648" w14:textId="6CAF574E"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80%</w:t>
            </w:r>
          </w:p>
        </w:tc>
      </w:tr>
      <w:tr w:rsidR="00F775B0" w14:paraId="0610D2CE" w14:textId="77777777" w:rsidTr="00F775B0">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FA7E4E"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Disadvantaged </w:t>
            </w:r>
          </w:p>
        </w:tc>
        <w:tc>
          <w:tcPr>
            <w:tcW w:w="3162" w:type="dxa"/>
            <w:tcBorders>
              <w:top w:val="single" w:sz="4" w:space="0" w:color="auto"/>
              <w:left w:val="single" w:sz="4" w:space="0" w:color="auto"/>
              <w:bottom w:val="single" w:sz="4" w:space="0" w:color="auto"/>
              <w:right w:val="single" w:sz="4" w:space="0" w:color="auto"/>
            </w:tcBorders>
            <w:hideMark/>
          </w:tcPr>
          <w:p w14:paraId="2CCC51D3" w14:textId="4A45F6C0"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88%</w:t>
            </w:r>
          </w:p>
        </w:tc>
        <w:tc>
          <w:tcPr>
            <w:tcW w:w="3162" w:type="dxa"/>
            <w:tcBorders>
              <w:top w:val="single" w:sz="4" w:space="0" w:color="auto"/>
              <w:left w:val="single" w:sz="4" w:space="0" w:color="auto"/>
              <w:bottom w:val="single" w:sz="4" w:space="0" w:color="auto"/>
              <w:right w:val="single" w:sz="4" w:space="0" w:color="auto"/>
            </w:tcBorders>
            <w:shd w:val="clear" w:color="auto" w:fill="FF0000"/>
            <w:hideMark/>
          </w:tcPr>
          <w:p w14:paraId="356BDD2D" w14:textId="4CDC613C"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+8%</w:t>
            </w:r>
          </w:p>
        </w:tc>
      </w:tr>
    </w:tbl>
    <w:p w14:paraId="4E73D8F0" w14:textId="77777777" w:rsidR="00F775B0" w:rsidRDefault="00F775B0" w:rsidP="00F775B0"/>
    <w:tbl>
      <w:tblPr>
        <w:tblStyle w:val="TableGrid"/>
        <w:tblW w:w="0" w:type="auto"/>
        <w:tblLook w:val="04A0" w:firstRow="1" w:lastRow="0" w:firstColumn="1" w:lastColumn="0" w:noHBand="0" w:noVBand="1"/>
      </w:tblPr>
      <w:tblGrid>
        <w:gridCol w:w="3162"/>
        <w:gridCol w:w="3162"/>
        <w:gridCol w:w="3162"/>
      </w:tblGrid>
      <w:tr w:rsidR="00F775B0" w14:paraId="2414F00A"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14:paraId="4D56608E" w14:textId="77777777" w:rsidR="00F775B0" w:rsidRDefault="00F775B0">
            <w:pPr>
              <w:pStyle w:val="NoSpacing"/>
              <w:jc w:val="center"/>
              <w:rPr>
                <w:rFonts w:ascii="Century Gothic" w:hAnsi="Century Gothic"/>
                <w:b/>
                <w:bCs/>
                <w:sz w:val="22"/>
                <w:szCs w:val="22"/>
                <w:lang w:eastAsia="en-US"/>
              </w:rPr>
            </w:pPr>
            <w:r>
              <w:rPr>
                <w:rFonts w:ascii="Century Gothic" w:hAnsi="Century Gothic"/>
                <w:b/>
                <w:bCs/>
                <w:sz w:val="28"/>
                <w:szCs w:val="28"/>
                <w:lang w:eastAsia="en-US"/>
              </w:rPr>
              <w:t>KS2 Writing</w:t>
            </w:r>
          </w:p>
        </w:tc>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C2FA9C"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Summer 21-22</w:t>
            </w:r>
          </w:p>
        </w:tc>
      </w:tr>
      <w:tr w:rsidR="00F775B0" w14:paraId="0B0EC51C"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498068"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Non disadvantaged </w:t>
            </w:r>
          </w:p>
        </w:tc>
        <w:tc>
          <w:tcPr>
            <w:tcW w:w="3162" w:type="dxa"/>
            <w:tcBorders>
              <w:top w:val="single" w:sz="4" w:space="0" w:color="auto"/>
              <w:left w:val="single" w:sz="4" w:space="0" w:color="auto"/>
              <w:bottom w:val="single" w:sz="4" w:space="0" w:color="auto"/>
              <w:right w:val="single" w:sz="4" w:space="0" w:color="auto"/>
            </w:tcBorders>
            <w:hideMark/>
          </w:tcPr>
          <w:p w14:paraId="68CFE846" w14:textId="1A41F2CC"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50%</w:t>
            </w:r>
          </w:p>
        </w:tc>
      </w:tr>
      <w:tr w:rsidR="00F775B0" w14:paraId="1FC1F260" w14:textId="77777777" w:rsidTr="00F775B0">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AC8A6E"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Disadvantaged </w:t>
            </w:r>
          </w:p>
        </w:tc>
        <w:tc>
          <w:tcPr>
            <w:tcW w:w="3162" w:type="dxa"/>
            <w:tcBorders>
              <w:top w:val="single" w:sz="4" w:space="0" w:color="auto"/>
              <w:left w:val="single" w:sz="4" w:space="0" w:color="auto"/>
              <w:bottom w:val="single" w:sz="4" w:space="0" w:color="auto"/>
              <w:right w:val="single" w:sz="4" w:space="0" w:color="auto"/>
            </w:tcBorders>
            <w:hideMark/>
          </w:tcPr>
          <w:p w14:paraId="06476DD7" w14:textId="52C64276"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 xml:space="preserve">                     38%</w:t>
            </w:r>
          </w:p>
        </w:tc>
        <w:tc>
          <w:tcPr>
            <w:tcW w:w="3162" w:type="dxa"/>
            <w:tcBorders>
              <w:top w:val="single" w:sz="4" w:space="0" w:color="auto"/>
              <w:left w:val="single" w:sz="4" w:space="0" w:color="auto"/>
              <w:bottom w:val="single" w:sz="4" w:space="0" w:color="auto"/>
              <w:right w:val="single" w:sz="4" w:space="0" w:color="auto"/>
            </w:tcBorders>
            <w:shd w:val="clear" w:color="auto" w:fill="00B050"/>
            <w:hideMark/>
          </w:tcPr>
          <w:p w14:paraId="7D4D7657" w14:textId="1729930F" w:rsidR="00F775B0" w:rsidRDefault="00537726">
            <w:pPr>
              <w:pStyle w:val="NoSpacing"/>
              <w:jc w:val="center"/>
              <w:rPr>
                <w:rFonts w:ascii="Century Gothic" w:hAnsi="Century Gothic"/>
                <w:sz w:val="22"/>
                <w:szCs w:val="22"/>
                <w:lang w:eastAsia="en-US"/>
              </w:rPr>
            </w:pPr>
            <w:r>
              <w:rPr>
                <w:rFonts w:ascii="Century Gothic" w:hAnsi="Century Gothic"/>
                <w:sz w:val="22"/>
                <w:szCs w:val="22"/>
                <w:lang w:eastAsia="en-US"/>
              </w:rPr>
              <w:t>-12%</w:t>
            </w:r>
          </w:p>
        </w:tc>
      </w:tr>
    </w:tbl>
    <w:p w14:paraId="6E7C0FA2" w14:textId="77777777" w:rsidR="00F775B0" w:rsidRDefault="00F775B0" w:rsidP="00F775B0"/>
    <w:tbl>
      <w:tblPr>
        <w:tblStyle w:val="TableGrid"/>
        <w:tblW w:w="0" w:type="auto"/>
        <w:tblLook w:val="04A0" w:firstRow="1" w:lastRow="0" w:firstColumn="1" w:lastColumn="0" w:noHBand="0" w:noVBand="1"/>
      </w:tblPr>
      <w:tblGrid>
        <w:gridCol w:w="3162"/>
        <w:gridCol w:w="3162"/>
        <w:gridCol w:w="3162"/>
      </w:tblGrid>
      <w:tr w:rsidR="00F775B0" w14:paraId="01E33678"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870B3FD" w14:textId="77777777" w:rsidR="00F775B0" w:rsidRDefault="00F775B0">
            <w:pPr>
              <w:pStyle w:val="NoSpacing"/>
              <w:jc w:val="center"/>
              <w:rPr>
                <w:rFonts w:ascii="Century Gothic" w:hAnsi="Century Gothic"/>
                <w:b/>
                <w:bCs/>
                <w:sz w:val="22"/>
                <w:szCs w:val="22"/>
                <w:lang w:eastAsia="en-US"/>
              </w:rPr>
            </w:pPr>
            <w:r>
              <w:rPr>
                <w:rFonts w:ascii="Century Gothic" w:hAnsi="Century Gothic"/>
                <w:b/>
                <w:bCs/>
                <w:sz w:val="28"/>
                <w:szCs w:val="28"/>
                <w:lang w:eastAsia="en-US"/>
              </w:rPr>
              <w:t>KS2 Maths</w:t>
            </w:r>
          </w:p>
        </w:tc>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B5A763"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Summer 21-22</w:t>
            </w:r>
          </w:p>
        </w:tc>
      </w:tr>
      <w:tr w:rsidR="00F775B0" w14:paraId="3EC51647" w14:textId="77777777" w:rsidTr="00F775B0">
        <w:trPr>
          <w:gridAfter w:val="1"/>
          <w:wAfter w:w="3162" w:type="dxa"/>
        </w:trPr>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D413C"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Non disadvantaged </w:t>
            </w:r>
          </w:p>
        </w:tc>
        <w:tc>
          <w:tcPr>
            <w:tcW w:w="3162" w:type="dxa"/>
            <w:tcBorders>
              <w:top w:val="single" w:sz="4" w:space="0" w:color="auto"/>
              <w:left w:val="single" w:sz="4" w:space="0" w:color="auto"/>
              <w:bottom w:val="single" w:sz="4" w:space="0" w:color="auto"/>
              <w:right w:val="single" w:sz="4" w:space="0" w:color="auto"/>
            </w:tcBorders>
            <w:hideMark/>
          </w:tcPr>
          <w:p w14:paraId="05AC51A7" w14:textId="3795B52C" w:rsidR="00F775B0" w:rsidRDefault="00537726" w:rsidP="00F775B0">
            <w:pPr>
              <w:pStyle w:val="NoSpacing"/>
              <w:rPr>
                <w:rFonts w:ascii="Century Gothic" w:hAnsi="Century Gothic"/>
                <w:sz w:val="22"/>
                <w:szCs w:val="22"/>
                <w:lang w:eastAsia="en-US"/>
              </w:rPr>
            </w:pPr>
            <w:r>
              <w:rPr>
                <w:rFonts w:ascii="Century Gothic" w:hAnsi="Century Gothic"/>
                <w:sz w:val="22"/>
                <w:szCs w:val="22"/>
                <w:lang w:eastAsia="en-US"/>
              </w:rPr>
              <w:t xml:space="preserve">            85%</w:t>
            </w:r>
          </w:p>
        </w:tc>
      </w:tr>
      <w:tr w:rsidR="00F775B0" w14:paraId="7AC08F31" w14:textId="77777777" w:rsidTr="00F775B0">
        <w:tc>
          <w:tcPr>
            <w:tcW w:w="3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F4693B" w14:textId="77777777" w:rsidR="00F775B0" w:rsidRDefault="00F775B0">
            <w:pPr>
              <w:pStyle w:val="NoSpacing"/>
              <w:rPr>
                <w:rFonts w:ascii="Century Gothic" w:hAnsi="Century Gothic"/>
                <w:b/>
                <w:bCs/>
                <w:sz w:val="22"/>
                <w:szCs w:val="22"/>
                <w:lang w:eastAsia="en-US"/>
              </w:rPr>
            </w:pPr>
            <w:r>
              <w:rPr>
                <w:rFonts w:ascii="Century Gothic" w:hAnsi="Century Gothic"/>
                <w:b/>
                <w:bCs/>
                <w:sz w:val="22"/>
                <w:szCs w:val="22"/>
                <w:lang w:eastAsia="en-US"/>
              </w:rPr>
              <w:t xml:space="preserve">Disadvantaged </w:t>
            </w:r>
          </w:p>
        </w:tc>
        <w:tc>
          <w:tcPr>
            <w:tcW w:w="3162" w:type="dxa"/>
            <w:tcBorders>
              <w:top w:val="single" w:sz="4" w:space="0" w:color="auto"/>
              <w:left w:val="single" w:sz="4" w:space="0" w:color="auto"/>
              <w:bottom w:val="single" w:sz="4" w:space="0" w:color="auto"/>
              <w:right w:val="single" w:sz="4" w:space="0" w:color="auto"/>
            </w:tcBorders>
            <w:hideMark/>
          </w:tcPr>
          <w:p w14:paraId="2075BB4D" w14:textId="52E3E6CA" w:rsidR="00F775B0" w:rsidRDefault="00540A76">
            <w:pPr>
              <w:pStyle w:val="NoSpacing"/>
              <w:jc w:val="center"/>
              <w:rPr>
                <w:rFonts w:ascii="Century Gothic" w:hAnsi="Century Gothic"/>
                <w:sz w:val="22"/>
                <w:szCs w:val="22"/>
                <w:lang w:eastAsia="en-US"/>
              </w:rPr>
            </w:pPr>
            <w:r>
              <w:rPr>
                <w:rFonts w:ascii="Century Gothic" w:hAnsi="Century Gothic"/>
                <w:sz w:val="22"/>
                <w:szCs w:val="22"/>
                <w:lang w:eastAsia="en-US"/>
              </w:rPr>
              <w:t>75%</w:t>
            </w:r>
          </w:p>
        </w:tc>
        <w:tc>
          <w:tcPr>
            <w:tcW w:w="3162" w:type="dxa"/>
            <w:tcBorders>
              <w:top w:val="single" w:sz="4" w:space="0" w:color="auto"/>
              <w:left w:val="single" w:sz="4" w:space="0" w:color="auto"/>
              <w:bottom w:val="single" w:sz="4" w:space="0" w:color="auto"/>
              <w:right w:val="single" w:sz="4" w:space="0" w:color="auto"/>
            </w:tcBorders>
            <w:shd w:val="clear" w:color="auto" w:fill="FF0000"/>
            <w:hideMark/>
          </w:tcPr>
          <w:p w14:paraId="5F9F3BA8" w14:textId="520B5EE0" w:rsidR="00F775B0" w:rsidRDefault="00540A76">
            <w:pPr>
              <w:pStyle w:val="NoSpacing"/>
              <w:jc w:val="center"/>
              <w:rPr>
                <w:rFonts w:ascii="Century Gothic" w:hAnsi="Century Gothic"/>
                <w:sz w:val="22"/>
                <w:szCs w:val="22"/>
                <w:lang w:eastAsia="en-US"/>
              </w:rPr>
            </w:pPr>
            <w:r>
              <w:rPr>
                <w:rFonts w:ascii="Century Gothic" w:hAnsi="Century Gothic"/>
                <w:sz w:val="22"/>
                <w:szCs w:val="22"/>
                <w:lang w:eastAsia="en-US"/>
              </w:rPr>
              <w:t>-10%</w:t>
            </w:r>
          </w:p>
        </w:tc>
      </w:tr>
    </w:tbl>
    <w:p w14:paraId="0D94A57E" w14:textId="77777777" w:rsidR="00F775B0" w:rsidRDefault="00F775B0" w:rsidP="00A466FF">
      <w:pPr>
        <w:pStyle w:val="Heading2"/>
        <w:spacing w:before="360"/>
        <w:rPr>
          <w:rFonts w:asciiTheme="minorHAnsi" w:hAnsiTheme="minorHAnsi" w:cstheme="minorHAnsi"/>
        </w:rPr>
      </w:pPr>
      <w:r>
        <w:rPr>
          <w:rFonts w:asciiTheme="minorHAnsi" w:hAnsiTheme="minorHAnsi" w:cstheme="minorHAnsi"/>
        </w:rPr>
        <w:t>Pupil premium strategy outcomes</w:t>
      </w:r>
    </w:p>
    <w:p w14:paraId="1A9D9D7B" w14:textId="77777777" w:rsidR="00F775B0" w:rsidRDefault="00F775B0" w:rsidP="00A466FF">
      <w:pPr>
        <w:spacing w:after="120"/>
        <w:rPr>
          <w:rFonts w:asciiTheme="minorHAnsi" w:hAnsiTheme="minorHAnsi" w:cstheme="minorHAnsi"/>
          <w:color w:val="auto"/>
          <w:lang w:eastAsia="en-US"/>
        </w:rPr>
      </w:pPr>
      <w:r>
        <w:rPr>
          <w:rFonts w:asciiTheme="minorHAnsi" w:hAnsiTheme="minorHAnsi" w:cstheme="minorHAnsi"/>
        </w:rPr>
        <w:t xml:space="preserve">This details the impact that our pupil premium activity had on pupils in the 2021 to 2022 academic year. </w:t>
      </w:r>
    </w:p>
    <w:p w14:paraId="2BAF2ED5" w14:textId="77777777" w:rsidR="00F775B0" w:rsidRDefault="00F775B0" w:rsidP="00A466FF">
      <w:pPr>
        <w:spacing w:after="0"/>
        <w:rPr>
          <w:rFonts w:asciiTheme="minorHAnsi" w:hAnsiTheme="minorHAnsi" w:cstheme="minorHAnsi"/>
        </w:rPr>
      </w:pPr>
      <w:r>
        <w:rPr>
          <w:rFonts w:asciiTheme="minorHAnsi" w:hAnsiTheme="minorHAnsi" w:cstheme="minorHAnsi"/>
        </w:rP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F775B0" w14:paraId="2AB7757D" w14:textId="77777777" w:rsidTr="00F775B0">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7AA46F3A" w14:textId="77777777" w:rsidR="00F775B0" w:rsidRDefault="00F775B0">
            <w:pPr>
              <w:pStyle w:val="TableHeader"/>
              <w:jc w:val="left"/>
              <w:rPr>
                <w:rFonts w:asciiTheme="minorHAnsi" w:hAnsiTheme="minorHAnsi" w:cstheme="minorHAnsi"/>
                <w:color w:val="auto"/>
              </w:rPr>
            </w:pPr>
            <w:r>
              <w:rPr>
                <w:rFonts w:asciiTheme="minorHAnsi" w:hAnsiTheme="minorHAnsi" w:cstheme="minorHAnsi"/>
                <w:color w:val="auto"/>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114BF9B6" w14:textId="77777777" w:rsidR="00F775B0" w:rsidRDefault="00F775B0">
            <w:pPr>
              <w:pStyle w:val="TableHeader"/>
              <w:jc w:val="left"/>
              <w:rPr>
                <w:rFonts w:asciiTheme="minorHAnsi" w:hAnsiTheme="minorHAnsi" w:cstheme="minorHAnsi"/>
                <w:color w:val="auto"/>
              </w:rPr>
            </w:pPr>
            <w:r>
              <w:rPr>
                <w:rFonts w:asciiTheme="minorHAnsi" w:hAnsiTheme="minorHAnsi" w:cstheme="minorHAnsi"/>
                <w:color w:val="auto"/>
              </w:rPr>
              <w:t>Provider</w:t>
            </w:r>
          </w:p>
        </w:tc>
      </w:tr>
      <w:tr w:rsidR="00F775B0" w14:paraId="70DDF739" w14:textId="77777777" w:rsidTr="00F775B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302FE" w14:textId="77777777" w:rsidR="00F775B0" w:rsidRDefault="00F775B0">
            <w:pPr>
              <w:pStyle w:val="TableRow"/>
              <w:rPr>
                <w:rFonts w:asciiTheme="minorHAnsi" w:hAnsiTheme="minorHAnsi" w:cstheme="minorHAnsi"/>
                <w:color w:val="auto"/>
              </w:rPr>
            </w:pPr>
            <w:r>
              <w:rPr>
                <w:rFonts w:asciiTheme="minorHAnsi" w:hAnsiTheme="minorHAnsi" w:cstheme="minorHAnsi"/>
                <w:color w:val="auto"/>
              </w:rPr>
              <w:t>Phonics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6A828" w14:textId="77777777" w:rsidR="00F775B0" w:rsidRDefault="00F775B0">
            <w:pPr>
              <w:pStyle w:val="TableRowCentered"/>
              <w:jc w:val="left"/>
              <w:rPr>
                <w:rFonts w:asciiTheme="minorHAnsi" w:hAnsiTheme="minorHAnsi" w:cstheme="minorHAnsi"/>
                <w:color w:val="auto"/>
              </w:rPr>
            </w:pPr>
            <w:r>
              <w:rPr>
                <w:rFonts w:asciiTheme="minorHAnsi" w:hAnsiTheme="minorHAnsi" w:cstheme="minorHAnsi"/>
                <w:color w:val="auto"/>
              </w:rPr>
              <w:t xml:space="preserve">Read, Write </w:t>
            </w:r>
            <w:proofErr w:type="spellStart"/>
            <w:r>
              <w:rPr>
                <w:rFonts w:asciiTheme="minorHAnsi" w:hAnsiTheme="minorHAnsi" w:cstheme="minorHAnsi"/>
                <w:color w:val="auto"/>
              </w:rPr>
              <w:t>Inc</w:t>
            </w:r>
            <w:proofErr w:type="spellEnd"/>
          </w:p>
        </w:tc>
      </w:tr>
      <w:tr w:rsidR="00F775B0" w14:paraId="3208432C" w14:textId="77777777" w:rsidTr="00F775B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226BE" w14:textId="77777777" w:rsidR="00F775B0" w:rsidRDefault="00F775B0">
            <w:pPr>
              <w:pStyle w:val="TableRow"/>
              <w:rPr>
                <w:rFonts w:asciiTheme="minorHAnsi" w:hAnsiTheme="minorHAnsi" w:cstheme="minorHAnsi"/>
                <w:color w:val="FF0000"/>
              </w:rPr>
            </w:pPr>
            <w:r>
              <w:rPr>
                <w:rFonts w:asciiTheme="minorHAnsi" w:hAnsiTheme="minorHAnsi" w:cstheme="minorHAnsi"/>
                <w:color w:val="auto"/>
              </w:rPr>
              <w:t>Speech and Language support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50330" w14:textId="77777777" w:rsidR="00F775B0" w:rsidRDefault="00F775B0">
            <w:pPr>
              <w:pStyle w:val="TableRowCentered"/>
              <w:jc w:val="left"/>
              <w:rPr>
                <w:rFonts w:asciiTheme="minorHAnsi" w:hAnsiTheme="minorHAnsi" w:cstheme="minorHAnsi"/>
                <w:color w:val="auto"/>
              </w:rPr>
            </w:pPr>
            <w:r>
              <w:rPr>
                <w:rFonts w:asciiTheme="minorHAnsi" w:hAnsiTheme="minorHAnsi" w:cstheme="minorHAnsi"/>
                <w:color w:val="auto"/>
              </w:rPr>
              <w:t>SALT</w:t>
            </w:r>
          </w:p>
        </w:tc>
      </w:tr>
    </w:tbl>
    <w:p w14:paraId="0DC1BF51" w14:textId="77777777" w:rsidR="00E66558" w:rsidRPr="00C07D00" w:rsidRDefault="00E66558">
      <w:pPr>
        <w:rPr>
          <w:rFonts w:asciiTheme="minorHAnsi" w:hAnsiTheme="minorHAnsi" w:cstheme="minorHAnsi"/>
        </w:rPr>
      </w:pPr>
    </w:p>
    <w:sectPr w:rsidR="00E66558" w:rsidRPr="00C07D00" w:rsidSect="00A466FF">
      <w:headerReference w:type="default" r:id="rId8"/>
      <w:footerReference w:type="default" r:id="rId9"/>
      <w:pgSz w:w="11906" w:h="16838"/>
      <w:pgMar w:top="1966"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91B99" w14:textId="77777777" w:rsidR="00537726" w:rsidRDefault="00537726">
      <w:pPr>
        <w:spacing w:after="0" w:line="240" w:lineRule="auto"/>
      </w:pPr>
      <w:r>
        <w:separator/>
      </w:r>
    </w:p>
  </w:endnote>
  <w:endnote w:type="continuationSeparator" w:id="0">
    <w:p w14:paraId="183EE776" w14:textId="77777777" w:rsidR="00537726" w:rsidRDefault="00537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54BE" w14:textId="77777777" w:rsidR="00537726" w:rsidRDefault="00537726">
    <w:pPr>
      <w:pStyle w:val="Footer"/>
      <w:ind w:firstLine="4513"/>
    </w:pPr>
    <w:r>
      <w:fldChar w:fldCharType="begin"/>
    </w:r>
    <w:r>
      <w:instrText xml:space="preserve"> PAGE </w:instrText>
    </w:r>
    <w:r>
      <w:fldChar w:fldCharType="separate"/>
    </w:r>
    <w:r w:rsidR="003012DB">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99D76" w14:textId="77777777" w:rsidR="00537726" w:rsidRDefault="00537726">
      <w:pPr>
        <w:spacing w:after="0" w:line="240" w:lineRule="auto"/>
      </w:pPr>
      <w:r>
        <w:separator/>
      </w:r>
    </w:p>
  </w:footnote>
  <w:footnote w:type="continuationSeparator" w:id="0">
    <w:p w14:paraId="5021A7ED" w14:textId="77777777" w:rsidR="00537726" w:rsidRDefault="00537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8D48F" w14:textId="749C62F8" w:rsidR="00A466FF" w:rsidRDefault="00A466FF">
    <w:pPr>
      <w:pStyle w:val="Header"/>
    </w:pPr>
    <w:r>
      <w:rPr>
        <w:noProof/>
      </w:rPr>
      <w:drawing>
        <wp:anchor distT="0" distB="0" distL="114300" distR="114300" simplePos="0" relativeHeight="251659264" behindDoc="0" locked="0" layoutInCell="1" allowOverlap="1" wp14:anchorId="2E8DBE01" wp14:editId="2FB58480">
          <wp:simplePos x="0" y="0"/>
          <wp:positionH relativeFrom="column">
            <wp:posOffset>-123190</wp:posOffset>
          </wp:positionH>
          <wp:positionV relativeFrom="paragraph">
            <wp:posOffset>-145415</wp:posOffset>
          </wp:positionV>
          <wp:extent cx="863600" cy="863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229" t="23341" r="37015" b="26728"/>
                  <a:stretch/>
                </pic:blipFill>
                <pic:spPr bwMode="auto">
                  <a:xfrm>
                    <a:off x="0" y="0"/>
                    <a:ext cx="863796" cy="8637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tOl2vF7b" int2:invalidationBookmarkName="" int2:hashCode="d+en/a1hyWtHds" int2:id="hnyQNeoU"/>
    <int2:bookmark int2:bookmarkName="_Int_xF3memUa" int2:invalidationBookmarkName="" int2:hashCode="XBuQGLGjOtk+De" int2:id="AMOjGxoz"/>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7EB2100"/>
    <w:multiLevelType w:val="hybridMultilevel"/>
    <w:tmpl w:val="6ABE9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F6465B8"/>
    <w:multiLevelType w:val="hybridMultilevel"/>
    <w:tmpl w:val="2846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51D0F"/>
    <w:rsid w:val="00066B73"/>
    <w:rsid w:val="00107D9B"/>
    <w:rsid w:val="00112C55"/>
    <w:rsid w:val="00120AB1"/>
    <w:rsid w:val="0013421A"/>
    <w:rsid w:val="00197A62"/>
    <w:rsid w:val="002071CA"/>
    <w:rsid w:val="002D4665"/>
    <w:rsid w:val="003012DB"/>
    <w:rsid w:val="00307B6E"/>
    <w:rsid w:val="00312D3F"/>
    <w:rsid w:val="00343554"/>
    <w:rsid w:val="003D614A"/>
    <w:rsid w:val="003E1FC6"/>
    <w:rsid w:val="004044AA"/>
    <w:rsid w:val="004147DD"/>
    <w:rsid w:val="00465904"/>
    <w:rsid w:val="00467CAB"/>
    <w:rsid w:val="004D4E9D"/>
    <w:rsid w:val="00504E56"/>
    <w:rsid w:val="00537726"/>
    <w:rsid w:val="00540A76"/>
    <w:rsid w:val="00561459"/>
    <w:rsid w:val="005819B5"/>
    <w:rsid w:val="00582AE3"/>
    <w:rsid w:val="005B1580"/>
    <w:rsid w:val="00670354"/>
    <w:rsid w:val="00672375"/>
    <w:rsid w:val="00684068"/>
    <w:rsid w:val="0069453B"/>
    <w:rsid w:val="006C20DA"/>
    <w:rsid w:val="006E7FB1"/>
    <w:rsid w:val="00741B9E"/>
    <w:rsid w:val="007C2F04"/>
    <w:rsid w:val="008033C4"/>
    <w:rsid w:val="008A66DF"/>
    <w:rsid w:val="008E6095"/>
    <w:rsid w:val="00922FF7"/>
    <w:rsid w:val="00944471"/>
    <w:rsid w:val="009D71E8"/>
    <w:rsid w:val="00A0718B"/>
    <w:rsid w:val="00A138F1"/>
    <w:rsid w:val="00A466FF"/>
    <w:rsid w:val="00A63EDF"/>
    <w:rsid w:val="00AA0736"/>
    <w:rsid w:val="00AA4201"/>
    <w:rsid w:val="00AA666F"/>
    <w:rsid w:val="00AC5736"/>
    <w:rsid w:val="00AD4FA8"/>
    <w:rsid w:val="00AF339F"/>
    <w:rsid w:val="00B34444"/>
    <w:rsid w:val="00B740F1"/>
    <w:rsid w:val="00BE1906"/>
    <w:rsid w:val="00C07D00"/>
    <w:rsid w:val="00C26A3C"/>
    <w:rsid w:val="00C57F18"/>
    <w:rsid w:val="00D04DAE"/>
    <w:rsid w:val="00D208D0"/>
    <w:rsid w:val="00D33FE5"/>
    <w:rsid w:val="00E66558"/>
    <w:rsid w:val="00EE5795"/>
    <w:rsid w:val="00F775B0"/>
    <w:rsid w:val="00F972A1"/>
    <w:rsid w:val="00F97660"/>
    <w:rsid w:val="1C0C5446"/>
    <w:rsid w:val="1F409C23"/>
    <w:rsid w:val="69AD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D54B1"/>
  <w15:docId w15:val="{42BF8624-E66E-4AEF-957B-CA274DFE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A0718B"/>
    <w:rPr>
      <w:color w:val="808080"/>
    </w:rPr>
  </w:style>
  <w:style w:type="paragraph" w:styleId="NoSpacing">
    <w:name w:val="No Spacing"/>
    <w:uiPriority w:val="1"/>
    <w:qFormat/>
    <w:rsid w:val="00F775B0"/>
    <w:pPr>
      <w:suppressAutoHyphens/>
    </w:pPr>
    <w:rPr>
      <w:color w:val="0D0D0D"/>
      <w:sz w:val="24"/>
      <w:szCs w:val="24"/>
    </w:rPr>
  </w:style>
  <w:style w:type="character" w:customStyle="1" w:styleId="1bodycopyChar">
    <w:name w:val="1 body copy Char"/>
    <w:link w:val="1bodycopy"/>
    <w:locked/>
    <w:rsid w:val="00F775B0"/>
    <w:rPr>
      <w:rFonts w:ascii="MS Mincho" w:eastAsia="MS Mincho" w:hAnsi="MS Mincho"/>
      <w:szCs w:val="24"/>
      <w:lang w:val="en-US" w:eastAsia="en-US"/>
    </w:rPr>
  </w:style>
  <w:style w:type="paragraph" w:customStyle="1" w:styleId="1bodycopy">
    <w:name w:val="1 body copy"/>
    <w:basedOn w:val="Normal"/>
    <w:link w:val="1bodycopyChar"/>
    <w:qFormat/>
    <w:rsid w:val="00F775B0"/>
    <w:pPr>
      <w:suppressAutoHyphens w:val="0"/>
      <w:autoSpaceDN/>
      <w:spacing w:after="120" w:line="240" w:lineRule="auto"/>
    </w:pPr>
    <w:rPr>
      <w:rFonts w:ascii="MS Mincho" w:eastAsia="MS Mincho" w:hAnsi="MS Mincho"/>
      <w:color w:val="auto"/>
      <w:sz w:val="20"/>
      <w:lang w:val="en-US" w:eastAsia="en-US"/>
    </w:rPr>
  </w:style>
  <w:style w:type="paragraph" w:customStyle="1" w:styleId="2Subheadpink">
    <w:name w:val="2 Subhead pink"/>
    <w:next w:val="1bodycopy"/>
    <w:qFormat/>
    <w:rsid w:val="00F775B0"/>
    <w:pPr>
      <w:autoSpaceDN/>
      <w:spacing w:before="360" w:after="120" w:line="254" w:lineRule="auto"/>
    </w:pPr>
    <w:rPr>
      <w:rFonts w:eastAsia="MS Mincho" w:cs="Arial"/>
      <w:b/>
      <w:color w:val="FF1F64"/>
      <w:sz w:val="32"/>
      <w:szCs w:val="32"/>
      <w:lang w:val="en-US" w:eastAsia="en-US"/>
    </w:rPr>
  </w:style>
  <w:style w:type="table" w:styleId="TableGrid">
    <w:name w:val="Table Grid"/>
    <w:basedOn w:val="TableNormal"/>
    <w:uiPriority w:val="39"/>
    <w:rsid w:val="00F77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25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b9b10e0226e242ee" Type="http://schemas.microsoft.com/office/2020/10/relationships/intelligence" Target="intelligence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0F02-AAC2-4B11-BAE5-C9E93112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99CE8523</Template>
  <TotalTime>17</TotalTime>
  <Pages>11</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RM plc</Company>
  <LinksUpToDate>false</LinksUpToDate>
  <CharactersWithSpaces>15953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Mrs K Lavin</cp:lastModifiedBy>
  <cp:revision>3</cp:revision>
  <cp:lastPrinted>2021-12-16T10:08:00Z</cp:lastPrinted>
  <dcterms:created xsi:type="dcterms:W3CDTF">2022-11-29T15:25:00Z</dcterms:created>
  <dcterms:modified xsi:type="dcterms:W3CDTF">2022-11-30T11:51:00Z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